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11DA" w14:textId="3A66C939" w:rsidR="00AA0B50" w:rsidRPr="00AA0B50" w:rsidRDefault="00AA0B50" w:rsidP="00AA0B50">
      <w:pPr>
        <w:pStyle w:val="Body"/>
        <w:jc w:val="center"/>
        <w:rPr>
          <w:rFonts w:ascii="Garamond" w:hAnsi="Garamond"/>
          <w:b/>
          <w:bCs/>
          <w:smallCaps/>
          <w:color w:val="212121"/>
          <w:u w:color="212121"/>
          <w:shd w:val="clear" w:color="auto" w:fill="FFFFFF"/>
          <w:lang w:val="es-ES_tradnl"/>
        </w:rPr>
      </w:pPr>
      <w:r>
        <w:rPr>
          <w:rFonts w:ascii="Garamond" w:hAnsi="Garamond"/>
          <w:b/>
          <w:bCs/>
          <w:smallCaps/>
          <w:color w:val="212121"/>
          <w:u w:color="212121"/>
          <w:shd w:val="clear" w:color="auto" w:fill="FFFFFF"/>
          <w:lang w:val="es-ES_tradnl"/>
        </w:rPr>
        <w:t>Ejemplos de preguntas parlamentarias al Gobierno sobre la toma de medidas para enjuiciar a combatientes extranjeros (por ejmplo, retornados de Iraq y Siria) por crímenes internacionales</w:t>
      </w:r>
    </w:p>
    <w:p w14:paraId="42552633" w14:textId="77777777" w:rsidR="00EC4186" w:rsidRPr="00AA0B50" w:rsidRDefault="00EC4186">
      <w:pPr>
        <w:pStyle w:val="Body"/>
        <w:jc w:val="both"/>
        <w:rPr>
          <w:rFonts w:ascii="Garamond" w:eastAsia="Garamond" w:hAnsi="Garamond" w:cs="Garamond"/>
          <w:color w:val="212121"/>
          <w:u w:color="212121"/>
          <w:shd w:val="clear" w:color="auto" w:fill="FFFFFF"/>
          <w:lang w:val="es-ES_tradnl"/>
        </w:rPr>
      </w:pPr>
    </w:p>
    <w:p w14:paraId="57A73A88" w14:textId="4FCD26FD" w:rsidR="00EC4186" w:rsidRPr="00AA0B50" w:rsidRDefault="00AA0B50">
      <w:pPr>
        <w:pStyle w:val="Body"/>
        <w:jc w:val="both"/>
        <w:rPr>
          <w:rFonts w:ascii="Garamond" w:eastAsia="Garamond" w:hAnsi="Garamond" w:cs="Garamond"/>
          <w:color w:val="212121"/>
          <w:u w:val="single" w:color="212121"/>
          <w:shd w:val="clear" w:color="auto" w:fill="FFFFFF"/>
          <w:lang w:val="es-ES_tradnl"/>
        </w:rPr>
      </w:pPr>
      <w:r>
        <w:rPr>
          <w:rFonts w:ascii="Garamond" w:hAnsi="Garamond"/>
          <w:color w:val="212121"/>
          <w:u w:val="single" w:color="212121"/>
          <w:shd w:val="clear" w:color="auto" w:fill="FFFFFF"/>
          <w:lang w:val="es-ES_tradnl"/>
        </w:rPr>
        <w:t xml:space="preserve">Contexto </w:t>
      </w:r>
      <w:r w:rsidR="00A26FB9" w:rsidRPr="00AA0B50">
        <w:rPr>
          <w:rFonts w:ascii="Garamond" w:hAnsi="Garamond"/>
          <w:color w:val="212121"/>
          <w:u w:val="single" w:color="212121"/>
          <w:shd w:val="clear" w:color="auto" w:fill="FFFFFF"/>
          <w:lang w:val="es-ES_tradnl"/>
        </w:rPr>
        <w:t>/</w:t>
      </w:r>
      <w:r>
        <w:rPr>
          <w:rFonts w:ascii="Garamond" w:hAnsi="Garamond"/>
          <w:color w:val="212121"/>
          <w:u w:val="single" w:color="212121"/>
          <w:shd w:val="clear" w:color="auto" w:fill="FFFFFF"/>
          <w:lang w:val="es-ES_tradnl"/>
        </w:rPr>
        <w:t xml:space="preserve"> Razones</w:t>
      </w:r>
      <w:r w:rsidR="00A26FB9" w:rsidRPr="00AA0B50">
        <w:rPr>
          <w:rFonts w:ascii="Garamond" w:hAnsi="Garamond"/>
          <w:color w:val="212121"/>
          <w:u w:val="single" w:color="212121"/>
          <w:shd w:val="clear" w:color="auto" w:fill="FFFFFF"/>
          <w:lang w:val="es-ES_tradnl"/>
        </w:rPr>
        <w:t>:</w:t>
      </w:r>
    </w:p>
    <w:p w14:paraId="457D629A" w14:textId="77777777" w:rsidR="00EC4186" w:rsidRPr="00AA0B50" w:rsidRDefault="00EC4186">
      <w:pPr>
        <w:pStyle w:val="Body"/>
        <w:jc w:val="both"/>
        <w:rPr>
          <w:rFonts w:ascii="Garamond" w:eastAsia="Garamond" w:hAnsi="Garamond" w:cs="Garamond"/>
          <w:color w:val="212121"/>
          <w:u w:color="212121"/>
          <w:shd w:val="clear" w:color="auto" w:fill="FFFFFF"/>
          <w:lang w:val="es-ES_tradnl"/>
        </w:rPr>
      </w:pPr>
    </w:p>
    <w:p w14:paraId="44C09C94" w14:textId="6F0DAA22" w:rsidR="00AA0B50" w:rsidRDefault="00AA0B50" w:rsidP="00AA0B50">
      <w:pPr>
        <w:pStyle w:val="Body"/>
        <w:jc w:val="both"/>
        <w:rPr>
          <w:rFonts w:ascii="Garamond" w:hAnsi="Garamond"/>
          <w:color w:val="212121"/>
          <w:u w:color="212121"/>
          <w:shd w:val="clear" w:color="auto" w:fill="FFFFFF"/>
          <w:lang w:val="es-ES"/>
        </w:rPr>
      </w:pPr>
      <w:r w:rsidRPr="00AA0B50">
        <w:rPr>
          <w:rFonts w:ascii="Garamond" w:hAnsi="Garamond"/>
          <w:color w:val="212121"/>
          <w:u w:color="212121"/>
          <w:shd w:val="clear" w:color="auto" w:fill="FFFFFF"/>
          <w:lang w:val="es-ES"/>
        </w:rPr>
        <w:t>Si bien el término de combatient</w:t>
      </w:r>
      <w:r>
        <w:rPr>
          <w:rFonts w:ascii="Garamond" w:hAnsi="Garamond"/>
          <w:color w:val="212121"/>
          <w:u w:color="212121"/>
          <w:shd w:val="clear" w:color="auto" w:fill="FFFFFF"/>
          <w:lang w:val="es-ES"/>
        </w:rPr>
        <w:t>es extranjeros, definidos como “</w:t>
      </w:r>
      <w:r w:rsidRPr="00AA0B50">
        <w:rPr>
          <w:rFonts w:ascii="Garamond" w:hAnsi="Garamond"/>
          <w:color w:val="212121"/>
          <w:u w:color="212121"/>
          <w:shd w:val="clear" w:color="auto" w:fill="FFFFFF"/>
          <w:lang w:val="es-ES"/>
        </w:rPr>
        <w:t>individuos, impulsados ​​principal</w:t>
      </w:r>
      <w:r>
        <w:rPr>
          <w:rFonts w:ascii="Garamond" w:hAnsi="Garamond"/>
          <w:color w:val="212121"/>
          <w:u w:color="212121"/>
          <w:shd w:val="clear" w:color="auto" w:fill="FFFFFF"/>
          <w:lang w:val="es-ES"/>
        </w:rPr>
        <w:t>mente por ideología, religión y/</w:t>
      </w:r>
      <w:r w:rsidRPr="00AA0B50">
        <w:rPr>
          <w:rFonts w:ascii="Garamond" w:hAnsi="Garamond"/>
          <w:color w:val="212121"/>
          <w:u w:color="212121"/>
          <w:shd w:val="clear" w:color="auto" w:fill="FFFFFF"/>
          <w:lang w:val="es-ES"/>
        </w:rPr>
        <w:t>o parentesco, que abandonan su país de origen o residencia habitual para unirse a un</w:t>
      </w:r>
      <w:r>
        <w:rPr>
          <w:rFonts w:ascii="Garamond" w:hAnsi="Garamond"/>
          <w:color w:val="212121"/>
          <w:u w:color="212121"/>
          <w:shd w:val="clear" w:color="auto" w:fill="FFFFFF"/>
          <w:lang w:val="es-ES"/>
        </w:rPr>
        <w:t xml:space="preserve"> bando en un conflicto armado”</w:t>
      </w:r>
      <w:r w:rsidRPr="00AA0B50">
        <w:rPr>
          <w:rFonts w:ascii="Garamond" w:hAnsi="Garamond"/>
          <w:color w:val="212121"/>
          <w:u w:color="212121"/>
          <w:shd w:val="clear" w:color="auto" w:fill="FFFFFF"/>
          <w:lang w:val="es-ES"/>
        </w:rPr>
        <w:t xml:space="preserve">, no es un fenómeno nuevo, recientemente ha representado una amenaza creciente en muchos países. Se </w:t>
      </w:r>
      <w:r>
        <w:rPr>
          <w:rFonts w:ascii="Garamond" w:hAnsi="Garamond"/>
          <w:color w:val="212121"/>
          <w:u w:color="212121"/>
          <w:shd w:val="clear" w:color="auto" w:fill="FFFFFF"/>
          <w:lang w:val="es-ES"/>
        </w:rPr>
        <w:t>ha informado de que, desde 2011, más de 40.</w:t>
      </w:r>
      <w:r w:rsidRPr="00AA0B50">
        <w:rPr>
          <w:rFonts w:ascii="Garamond" w:hAnsi="Garamond"/>
          <w:color w:val="212121"/>
          <w:u w:color="212121"/>
          <w:shd w:val="clear" w:color="auto" w:fill="FFFFFF"/>
          <w:lang w:val="es-ES"/>
        </w:rPr>
        <w:t>000 personas de aproximadamente 110 países viajaron para unirse al ISIL (ISIS / Daesh) y otros grupos extremistas asociados en Si</w:t>
      </w:r>
      <w:r>
        <w:rPr>
          <w:rFonts w:ascii="Garamond" w:hAnsi="Garamond"/>
          <w:color w:val="212121"/>
          <w:u w:color="212121"/>
          <w:shd w:val="clear" w:color="auto" w:fill="FFFFFF"/>
          <w:lang w:val="es-ES"/>
        </w:rPr>
        <w:t>ria e Irak</w:t>
      </w:r>
      <w:r w:rsidRPr="00AA0B50">
        <w:rPr>
          <w:rFonts w:ascii="Garamond" w:hAnsi="Garamond"/>
          <w:color w:val="212121"/>
          <w:u w:color="212121"/>
          <w:shd w:val="clear" w:color="auto" w:fill="FFFFFF"/>
          <w:lang w:val="es-ES"/>
        </w:rPr>
        <w:t xml:space="preserve">, además de los sirios y los iraquíes que se convirtieron en combatientes. En los últimos dos años, se </w:t>
      </w:r>
      <w:r>
        <w:rPr>
          <w:rFonts w:ascii="Garamond" w:hAnsi="Garamond"/>
          <w:color w:val="212121"/>
          <w:u w:color="212121"/>
          <w:shd w:val="clear" w:color="auto" w:fill="FFFFFF"/>
          <w:lang w:val="es-ES"/>
        </w:rPr>
        <w:t>ha informado de</w:t>
      </w:r>
      <w:r w:rsidRPr="00AA0B50">
        <w:rPr>
          <w:rFonts w:ascii="Garamond" w:hAnsi="Garamond"/>
          <w:color w:val="212121"/>
          <w:u w:color="212121"/>
          <w:shd w:val="clear" w:color="auto" w:fill="FFFFFF"/>
          <w:lang w:val="es-ES"/>
        </w:rPr>
        <w:t xml:space="preserve"> que al menos 5.600</w:t>
      </w:r>
      <w:r w:rsidRPr="00AA0B50">
        <w:rPr>
          <w:rFonts w:ascii="Garamond" w:eastAsia="Garamond" w:hAnsi="Garamond" w:cs="Garamond"/>
          <w:color w:val="212121"/>
          <w:u w:color="212121"/>
          <w:shd w:val="clear" w:color="auto" w:fill="FFFFFF"/>
          <w:vertAlign w:val="superscript"/>
          <w:lang w:val="es-ES_tradnl"/>
        </w:rPr>
        <w:footnoteReference w:id="2"/>
      </w:r>
      <w:r w:rsidRPr="00AA0B50">
        <w:rPr>
          <w:rFonts w:ascii="Garamond" w:hAnsi="Garamond"/>
          <w:color w:val="212121"/>
          <w:u w:color="212121"/>
          <w:shd w:val="clear" w:color="auto" w:fill="FFFFFF"/>
          <w:lang w:val="es-ES_tradnl"/>
        </w:rPr>
        <w:t xml:space="preserve"> </w:t>
      </w:r>
      <w:r w:rsidRPr="00AA0B50">
        <w:rPr>
          <w:rFonts w:ascii="Garamond" w:hAnsi="Garamond"/>
          <w:color w:val="212121"/>
          <w:u w:color="212121"/>
          <w:shd w:val="clear" w:color="auto" w:fill="FFFFFF"/>
          <w:lang w:val="es-ES"/>
        </w:rPr>
        <w:t>personas abandonaron estos grupos para regresar a sus países de origen o trasladarse a otros países.</w:t>
      </w:r>
    </w:p>
    <w:p w14:paraId="60583E30" w14:textId="77777777" w:rsidR="002B5659" w:rsidRDefault="002B5659" w:rsidP="00AA0B50">
      <w:pPr>
        <w:pStyle w:val="Body"/>
        <w:jc w:val="both"/>
        <w:rPr>
          <w:rFonts w:ascii="Garamond" w:hAnsi="Garamond"/>
          <w:color w:val="212121"/>
          <w:u w:color="212121"/>
          <w:shd w:val="clear" w:color="auto" w:fill="FFFFFF"/>
          <w:lang w:val="es-ES"/>
        </w:rPr>
      </w:pPr>
    </w:p>
    <w:p w14:paraId="34569D1E" w14:textId="1BDEF365" w:rsidR="002B5659" w:rsidRDefault="002B5659" w:rsidP="00AA0B50">
      <w:pPr>
        <w:pStyle w:val="Body"/>
        <w:jc w:val="both"/>
        <w:rPr>
          <w:rFonts w:ascii="Garamond" w:hAnsi="Garamond"/>
          <w:color w:val="212121"/>
          <w:u w:color="212121"/>
          <w:shd w:val="clear" w:color="auto" w:fill="FFFFFF"/>
          <w:lang w:val="es-ES"/>
        </w:rPr>
      </w:pPr>
      <w:r w:rsidRPr="002B5659">
        <w:rPr>
          <w:rFonts w:ascii="Garamond" w:hAnsi="Garamond"/>
          <w:color w:val="212121"/>
          <w:u w:color="212121"/>
          <w:shd w:val="clear" w:color="auto" w:fill="FFFFFF"/>
          <w:lang w:val="es-ES"/>
        </w:rPr>
        <w:t>Para abordar el fenómeno de manera apropiada, la participación de los parlam</w:t>
      </w:r>
      <w:r>
        <w:rPr>
          <w:rFonts w:ascii="Garamond" w:hAnsi="Garamond"/>
          <w:color w:val="212121"/>
          <w:u w:color="212121"/>
          <w:shd w:val="clear" w:color="auto" w:fill="FFFFFF"/>
          <w:lang w:val="es-ES"/>
        </w:rPr>
        <w:t xml:space="preserve">entos nacionales a la hora de proporcionar </w:t>
      </w:r>
      <w:r w:rsidRPr="002B5659">
        <w:rPr>
          <w:rFonts w:ascii="Garamond" w:hAnsi="Garamond"/>
          <w:color w:val="212121"/>
          <w:u w:color="212121"/>
          <w:shd w:val="clear" w:color="auto" w:fill="FFFFFF"/>
          <w:lang w:val="es-ES"/>
        </w:rPr>
        <w:t xml:space="preserve">una respuesta adecuada es de suma importancia. Parlamentarios de 54 países se reunieron en el </w:t>
      </w:r>
      <w:r w:rsidRPr="002B5659">
        <w:rPr>
          <w:rFonts w:ascii="Garamond" w:hAnsi="Garamond"/>
          <w:i/>
          <w:color w:val="212121"/>
          <w:u w:color="212121"/>
          <w:shd w:val="clear" w:color="auto" w:fill="FFFFFF"/>
          <w:lang w:val="es-ES"/>
        </w:rPr>
        <w:t>Foro de Milán para la Acción Parlamentaria en la Prevención del Extremismo Violento y las Atrocidades Masivas</w:t>
      </w:r>
      <w:r>
        <w:rPr>
          <w:rFonts w:ascii="Garamond" w:hAnsi="Garamond"/>
          <w:color w:val="212121"/>
          <w:u w:color="212121"/>
          <w:shd w:val="clear" w:color="auto" w:fill="FFFFFF"/>
          <w:lang w:val="es-ES"/>
        </w:rPr>
        <w:t xml:space="preserve"> </w:t>
      </w:r>
      <w:r w:rsidRPr="002B5659">
        <w:rPr>
          <w:rFonts w:ascii="Garamond" w:hAnsi="Garamond"/>
          <w:color w:val="212121"/>
          <w:u w:color="212121"/>
          <w:shd w:val="clear" w:color="auto" w:fill="FFFFFF"/>
          <w:lang w:val="es-ES"/>
        </w:rPr>
        <w:t xml:space="preserve">de Parlamentarios para la Acción Global (PGA) </w:t>
      </w:r>
      <w:r>
        <w:rPr>
          <w:rFonts w:ascii="Garamond" w:hAnsi="Garamond"/>
          <w:color w:val="212121"/>
          <w:u w:color="212121"/>
          <w:shd w:val="clear" w:color="auto" w:fill="FFFFFF"/>
          <w:lang w:val="es-ES"/>
        </w:rPr>
        <w:t xml:space="preserve">los días 27 y </w:t>
      </w:r>
      <w:r w:rsidRPr="002B5659">
        <w:rPr>
          <w:rFonts w:ascii="Garamond" w:hAnsi="Garamond"/>
          <w:color w:val="212121"/>
          <w:u w:color="212121"/>
          <w:shd w:val="clear" w:color="auto" w:fill="FFFFFF"/>
          <w:lang w:val="es-ES"/>
        </w:rPr>
        <w:t xml:space="preserve">28 de noviembre </w:t>
      </w:r>
      <w:r>
        <w:rPr>
          <w:rFonts w:ascii="Garamond" w:hAnsi="Garamond"/>
          <w:color w:val="212121"/>
          <w:u w:color="212121"/>
          <w:shd w:val="clear" w:color="auto" w:fill="FFFFFF"/>
          <w:lang w:val="es-ES"/>
        </w:rPr>
        <w:t>de 2017</w:t>
      </w:r>
      <w:r w:rsidRPr="002B5659">
        <w:rPr>
          <w:rFonts w:ascii="Garamond" w:hAnsi="Garamond"/>
          <w:color w:val="212121"/>
          <w:u w:color="212121"/>
          <w:shd w:val="clear" w:color="auto" w:fill="FFFFFF"/>
          <w:lang w:val="es-ES"/>
        </w:rPr>
        <w:t xml:space="preserve"> para adoptar el </w:t>
      </w:r>
      <w:hyperlink r:id="rId8" w:history="1">
        <w:r w:rsidRPr="002B5659">
          <w:rPr>
            <w:rStyle w:val="Hyperlink"/>
            <w:rFonts w:ascii="Garamond" w:hAnsi="Garamond"/>
            <w:u w:color="212121"/>
            <w:shd w:val="clear" w:color="auto" w:fill="FFFFFF"/>
            <w:lang w:val="es-ES"/>
          </w:rPr>
          <w:t>Plan de Acción de Milán</w:t>
        </w:r>
      </w:hyperlink>
      <w:r w:rsidRPr="002B5659">
        <w:rPr>
          <w:rFonts w:ascii="Garamond" w:hAnsi="Garamond"/>
          <w:color w:val="212121"/>
          <w:u w:color="212121"/>
          <w:shd w:val="clear" w:color="auto" w:fill="FFFFFF"/>
          <w:lang w:val="es-ES"/>
        </w:rPr>
        <w:t xml:space="preserve">, un ambicioso documento final que compromete a los parlamentarios a acciones futuras y establece una hoja de ruta para abordar los factores impulsores y las causas </w:t>
      </w:r>
      <w:r>
        <w:rPr>
          <w:rFonts w:ascii="Garamond" w:hAnsi="Garamond"/>
          <w:color w:val="212121"/>
          <w:u w:color="212121"/>
          <w:shd w:val="clear" w:color="auto" w:fill="FFFFFF"/>
          <w:lang w:val="es-ES"/>
        </w:rPr>
        <w:t>de fondo</w:t>
      </w:r>
      <w:r w:rsidRPr="002B5659">
        <w:rPr>
          <w:rFonts w:ascii="Garamond" w:hAnsi="Garamond"/>
          <w:color w:val="212121"/>
          <w:u w:color="212121"/>
          <w:shd w:val="clear" w:color="auto" w:fill="FFFFFF"/>
          <w:lang w:val="es-ES"/>
        </w:rPr>
        <w:t xml:space="preserve"> del extremismo violento y las atrocidades masivas; detener la proliferación de armas convencionales y armas de destrucción masiva para los extremistas violentos; poner fin a la impunidad de los extremistas violentos y los perpetradores de atrocidades masivas y garantizar la justicia para las víctimas; prevenir la represión violenta que puede provocar la perpetración de crímenes atroces; y proteger el espacio de la sociedad civil, la participación democrática y los derechos de las minorías y los grupos vulnerables.</w:t>
      </w:r>
    </w:p>
    <w:p w14:paraId="5EE086DC" w14:textId="77777777" w:rsidR="002B5659" w:rsidRDefault="002B5659" w:rsidP="00AA0B50">
      <w:pPr>
        <w:pStyle w:val="Body"/>
        <w:jc w:val="both"/>
        <w:rPr>
          <w:rFonts w:ascii="Garamond" w:hAnsi="Garamond"/>
          <w:color w:val="212121"/>
          <w:u w:color="212121"/>
          <w:shd w:val="clear" w:color="auto" w:fill="FFFFFF"/>
          <w:lang w:val="es-ES"/>
        </w:rPr>
      </w:pPr>
    </w:p>
    <w:p w14:paraId="345EE087" w14:textId="31A88582" w:rsidR="002B5659" w:rsidRDefault="002B5659" w:rsidP="002B5659">
      <w:pPr>
        <w:pStyle w:val="Body"/>
        <w:jc w:val="both"/>
        <w:rPr>
          <w:rFonts w:ascii="Garamond" w:hAnsi="Garamond"/>
          <w:color w:val="212121"/>
          <w:u w:color="212121"/>
          <w:shd w:val="clear" w:color="auto" w:fill="FFFFFF"/>
          <w:lang w:val="es-ES"/>
        </w:rPr>
      </w:pPr>
      <w:r w:rsidRPr="002B5659">
        <w:rPr>
          <w:rFonts w:ascii="Garamond" w:hAnsi="Garamond"/>
          <w:color w:val="212121"/>
          <w:u w:color="212121"/>
          <w:shd w:val="clear" w:color="auto" w:fill="FFFFFF"/>
          <w:lang w:val="es-ES"/>
        </w:rPr>
        <w:t>Los participantes, incluidos políticos de alto nivel de países críticos afectados por el extremismo violento y el conflicto a</w:t>
      </w:r>
      <w:r>
        <w:rPr>
          <w:rFonts w:ascii="Garamond" w:hAnsi="Garamond"/>
          <w:color w:val="212121"/>
          <w:u w:color="212121"/>
          <w:shd w:val="clear" w:color="auto" w:fill="FFFFFF"/>
          <w:lang w:val="es-ES"/>
        </w:rPr>
        <w:t>rmado, afirmaron que no deben</w:t>
      </w:r>
      <w:r w:rsidRPr="002B5659">
        <w:rPr>
          <w:rFonts w:ascii="Garamond" w:hAnsi="Garamond"/>
          <w:color w:val="212121"/>
          <w:u w:color="212121"/>
          <w:shd w:val="clear" w:color="auto" w:fill="FFFFFF"/>
          <w:lang w:val="es-ES"/>
        </w:rPr>
        <w:t xml:space="preserve"> violarse los derechos humanos universalmente aceptados en nombre de las medidas antiterroristas, </w:t>
      </w:r>
      <w:r>
        <w:rPr>
          <w:rFonts w:ascii="Garamond" w:hAnsi="Garamond"/>
          <w:color w:val="212121"/>
          <w:u w:color="212121"/>
          <w:shd w:val="clear" w:color="auto" w:fill="FFFFFF"/>
          <w:lang w:val="es-ES"/>
        </w:rPr>
        <w:t>lo cual hasta ahora no ha</w:t>
      </w:r>
      <w:r w:rsidRPr="002B5659">
        <w:rPr>
          <w:rFonts w:ascii="Garamond" w:hAnsi="Garamond"/>
          <w:color w:val="212121"/>
          <w:u w:color="212121"/>
          <w:shd w:val="clear" w:color="auto" w:fill="FFFFFF"/>
          <w:lang w:val="es-ES"/>
        </w:rPr>
        <w:t xml:space="preserve"> demostrado su eficacia para abordar y reducir el fenómeno del extremismo violento que sustenta los ataques terroristas y la perpetración de crímenes atroces, a saber, crímenes de guerra, críme</w:t>
      </w:r>
      <w:r>
        <w:rPr>
          <w:rFonts w:ascii="Garamond" w:hAnsi="Garamond"/>
          <w:color w:val="212121"/>
          <w:u w:color="212121"/>
          <w:shd w:val="clear" w:color="auto" w:fill="FFFFFF"/>
          <w:lang w:val="es-ES"/>
        </w:rPr>
        <w:t>nes de lesa humanidad y, en ocasiones</w:t>
      </w:r>
      <w:r w:rsidRPr="002B5659">
        <w:rPr>
          <w:rFonts w:ascii="Garamond" w:hAnsi="Garamond"/>
          <w:color w:val="212121"/>
          <w:u w:color="212121"/>
          <w:shd w:val="clear" w:color="auto" w:fill="FFFFFF"/>
          <w:lang w:val="es-ES"/>
        </w:rPr>
        <w:t xml:space="preserve">, hasta genocidio. La falta de respuestas policiales y de seguridad proporcionadas, </w:t>
      </w:r>
      <w:r>
        <w:rPr>
          <w:rFonts w:ascii="Garamond" w:hAnsi="Garamond"/>
          <w:color w:val="212121"/>
          <w:u w:color="212121"/>
          <w:shd w:val="clear" w:color="auto" w:fill="FFFFFF"/>
          <w:lang w:val="es-ES"/>
        </w:rPr>
        <w:t xml:space="preserve">de </w:t>
      </w:r>
      <w:r w:rsidRPr="002B5659">
        <w:rPr>
          <w:rFonts w:ascii="Garamond" w:hAnsi="Garamond"/>
          <w:color w:val="212121"/>
          <w:u w:color="212121"/>
          <w:shd w:val="clear" w:color="auto" w:fill="FFFFFF"/>
          <w:lang w:val="es-ES"/>
        </w:rPr>
        <w:t xml:space="preserve">una justicia penal y reparadora adecuada, así como </w:t>
      </w:r>
      <w:r>
        <w:rPr>
          <w:rFonts w:ascii="Garamond" w:hAnsi="Garamond"/>
          <w:color w:val="212121"/>
          <w:u w:color="212121"/>
          <w:shd w:val="clear" w:color="auto" w:fill="FFFFFF"/>
          <w:lang w:val="es-ES"/>
        </w:rPr>
        <w:t xml:space="preserve">de medidas </w:t>
      </w:r>
      <w:r w:rsidRPr="002B5659">
        <w:rPr>
          <w:rFonts w:ascii="Garamond" w:hAnsi="Garamond"/>
          <w:color w:val="212121"/>
          <w:u w:color="212121"/>
          <w:shd w:val="clear" w:color="auto" w:fill="FFFFFF"/>
          <w:lang w:val="es-ES"/>
        </w:rPr>
        <w:t>adecuadas de rehabilitación, re</w:t>
      </w:r>
      <w:r>
        <w:rPr>
          <w:rFonts w:ascii="Garamond" w:hAnsi="Garamond"/>
          <w:color w:val="212121"/>
          <w:u w:color="212121"/>
          <w:shd w:val="clear" w:color="auto" w:fill="FFFFFF"/>
          <w:lang w:val="es-ES"/>
        </w:rPr>
        <w:t>educación y reintegración sirve</w:t>
      </w:r>
      <w:r w:rsidRPr="002B5659">
        <w:rPr>
          <w:rFonts w:ascii="Garamond" w:hAnsi="Garamond"/>
          <w:color w:val="212121"/>
          <w:u w:color="212121"/>
          <w:shd w:val="clear" w:color="auto" w:fill="FFFFFF"/>
          <w:lang w:val="es-ES"/>
        </w:rPr>
        <w:t xml:space="preserve"> para aumentar la probabilidad de que se c</w:t>
      </w:r>
      <w:r>
        <w:rPr>
          <w:rFonts w:ascii="Garamond" w:hAnsi="Garamond"/>
          <w:color w:val="212121"/>
          <w:u w:color="212121"/>
          <w:shd w:val="clear" w:color="auto" w:fill="FFFFFF"/>
          <w:lang w:val="es-ES"/>
        </w:rPr>
        <w:t>ometan nuevos delitos y conduce</w:t>
      </w:r>
      <w:r w:rsidRPr="002B5659">
        <w:rPr>
          <w:rFonts w:ascii="Garamond" w:hAnsi="Garamond"/>
          <w:color w:val="212121"/>
          <w:u w:color="212121"/>
          <w:shd w:val="clear" w:color="auto" w:fill="FFFFFF"/>
          <w:lang w:val="es-ES"/>
        </w:rPr>
        <w:t xml:space="preserve"> a una radicalización que lleva al extremismo violento.</w:t>
      </w:r>
    </w:p>
    <w:p w14:paraId="165F915C" w14:textId="77777777" w:rsidR="000832E2" w:rsidRDefault="000832E2" w:rsidP="002B5659">
      <w:pPr>
        <w:pStyle w:val="Body"/>
        <w:jc w:val="both"/>
        <w:rPr>
          <w:rFonts w:ascii="Garamond" w:hAnsi="Garamond"/>
          <w:color w:val="212121"/>
          <w:u w:color="212121"/>
          <w:shd w:val="clear" w:color="auto" w:fill="FFFFFF"/>
          <w:lang w:val="es-ES"/>
        </w:rPr>
      </w:pPr>
    </w:p>
    <w:p w14:paraId="2E0E33AB" w14:textId="3AACF264" w:rsidR="000832E2" w:rsidRDefault="000832E2" w:rsidP="000832E2">
      <w:pPr>
        <w:pStyle w:val="Body"/>
        <w:jc w:val="both"/>
        <w:rPr>
          <w:rFonts w:ascii="Garamond" w:hAnsi="Garamond"/>
          <w:color w:val="212121"/>
          <w:u w:color="212121"/>
          <w:shd w:val="clear" w:color="auto" w:fill="FFFFFF"/>
          <w:lang w:val="es-ES"/>
        </w:rPr>
      </w:pPr>
      <w:r w:rsidRPr="000832E2">
        <w:rPr>
          <w:rFonts w:ascii="Garamond" w:hAnsi="Garamond"/>
          <w:color w:val="212121"/>
          <w:u w:color="212121"/>
          <w:shd w:val="clear" w:color="auto" w:fill="FFFFFF"/>
          <w:lang w:val="es-ES"/>
        </w:rPr>
        <w:t xml:space="preserve">Todos los Estados tienen el </w:t>
      </w:r>
      <w:r w:rsidRPr="000832E2">
        <w:rPr>
          <w:rFonts w:ascii="Garamond" w:hAnsi="Garamond"/>
          <w:i/>
          <w:color w:val="212121"/>
          <w:u w:color="212121"/>
          <w:shd w:val="clear" w:color="auto" w:fill="FFFFFF"/>
          <w:lang w:val="es-ES"/>
        </w:rPr>
        <w:t>deber de enjuiciar o extraditar</w:t>
      </w:r>
      <w:r w:rsidRPr="000832E2">
        <w:rPr>
          <w:rFonts w:ascii="Garamond" w:hAnsi="Garamond"/>
          <w:color w:val="212121"/>
          <w:u w:color="212121"/>
          <w:shd w:val="clear" w:color="auto" w:fill="FFFFFF"/>
          <w:lang w:val="es-ES"/>
        </w:rPr>
        <w:t xml:space="preserve"> a los sospechosos de crímenes i</w:t>
      </w:r>
      <w:r>
        <w:rPr>
          <w:rFonts w:ascii="Garamond" w:hAnsi="Garamond"/>
          <w:color w:val="212121"/>
          <w:u w:color="212121"/>
          <w:shd w:val="clear" w:color="auto" w:fill="FFFFFF"/>
          <w:lang w:val="es-ES"/>
        </w:rPr>
        <w:t>nternacionales, al tiempo que</w:t>
      </w:r>
      <w:r w:rsidRPr="000832E2">
        <w:rPr>
          <w:rFonts w:ascii="Garamond" w:hAnsi="Garamond"/>
          <w:color w:val="212121"/>
          <w:u w:color="212121"/>
          <w:shd w:val="clear" w:color="auto" w:fill="FFFFFF"/>
          <w:lang w:val="es-ES"/>
        </w:rPr>
        <w:t xml:space="preserve"> garantiza</w:t>
      </w:r>
      <w:r>
        <w:rPr>
          <w:rFonts w:ascii="Garamond" w:hAnsi="Garamond"/>
          <w:color w:val="212121"/>
          <w:u w:color="212121"/>
          <w:shd w:val="clear" w:color="auto" w:fill="FFFFFF"/>
          <w:lang w:val="es-ES"/>
        </w:rPr>
        <w:t>n</w:t>
      </w:r>
      <w:r w:rsidRPr="000832E2">
        <w:rPr>
          <w:rFonts w:ascii="Garamond" w:hAnsi="Garamond"/>
          <w:color w:val="212121"/>
          <w:u w:color="212121"/>
          <w:shd w:val="clear" w:color="auto" w:fill="FFFFFF"/>
          <w:lang w:val="es-ES"/>
        </w:rPr>
        <w:t xml:space="preserve"> que todos los presuntos autores cuenten con las garantías del debido proceso y se</w:t>
      </w:r>
      <w:r>
        <w:rPr>
          <w:rFonts w:ascii="Garamond" w:hAnsi="Garamond"/>
          <w:color w:val="212121"/>
          <w:u w:color="212121"/>
          <w:shd w:val="clear" w:color="auto" w:fill="FFFFFF"/>
          <w:lang w:val="es-ES"/>
        </w:rPr>
        <w:t>an investigados</w:t>
      </w:r>
      <w:r w:rsidRPr="000832E2">
        <w:rPr>
          <w:rFonts w:ascii="Garamond" w:hAnsi="Garamond"/>
          <w:color w:val="212121"/>
          <w:u w:color="212121"/>
          <w:shd w:val="clear" w:color="auto" w:fill="FFFFFF"/>
          <w:lang w:val="es-ES"/>
        </w:rPr>
        <w:t xml:space="preserve"> de manera imparcial y justa. Con este fin, los Estados deben garantizar que todas las medidas y políticas legislativas cumplan con los derechos humanos universalmente aceptados y el Estado de Derecho, en particular el derecho a un juicio justo</w:t>
      </w:r>
      <w:r>
        <w:rPr>
          <w:rFonts w:ascii="Garamond" w:hAnsi="Garamond"/>
          <w:color w:val="212121"/>
          <w:u w:color="212121"/>
          <w:shd w:val="clear" w:color="auto" w:fill="FFFFFF"/>
          <w:lang w:val="es-ES"/>
        </w:rPr>
        <w:t>,</w:t>
      </w:r>
      <w:r w:rsidRPr="000832E2">
        <w:rPr>
          <w:rFonts w:ascii="Garamond" w:hAnsi="Garamond"/>
          <w:color w:val="212121"/>
          <w:u w:color="212121"/>
          <w:shd w:val="clear" w:color="auto" w:fill="FFFFFF"/>
          <w:lang w:val="es-ES"/>
        </w:rPr>
        <w:t xml:space="preserve"> y que se apliquen las calificaciones correctas de los delitos más graves de trascendencia internacional.</w:t>
      </w:r>
    </w:p>
    <w:p w14:paraId="7EEBDA60" w14:textId="77777777" w:rsidR="006750D6" w:rsidRDefault="006750D6" w:rsidP="000832E2">
      <w:pPr>
        <w:pStyle w:val="Body"/>
        <w:jc w:val="both"/>
        <w:rPr>
          <w:rFonts w:ascii="Garamond" w:hAnsi="Garamond"/>
          <w:color w:val="212121"/>
          <w:u w:color="212121"/>
          <w:shd w:val="clear" w:color="auto" w:fill="FFFFFF"/>
          <w:lang w:val="es-ES"/>
        </w:rPr>
      </w:pPr>
    </w:p>
    <w:p w14:paraId="72182A59" w14:textId="1DAF1266" w:rsidR="006750D6" w:rsidRDefault="006750D6" w:rsidP="006750D6">
      <w:pPr>
        <w:pStyle w:val="Body"/>
        <w:jc w:val="both"/>
        <w:rPr>
          <w:rFonts w:ascii="Garamond" w:hAnsi="Garamond"/>
          <w:color w:val="212121"/>
          <w:u w:color="212121"/>
          <w:shd w:val="clear" w:color="auto" w:fill="FFFFFF"/>
          <w:lang w:val="es-ES"/>
        </w:rPr>
      </w:pPr>
      <w:r w:rsidRPr="006750D6">
        <w:rPr>
          <w:rFonts w:ascii="Garamond" w:hAnsi="Garamond"/>
          <w:color w:val="212121"/>
          <w:u w:color="212121"/>
          <w:shd w:val="clear" w:color="auto" w:fill="FFFFFF"/>
          <w:lang w:val="es-ES"/>
        </w:rPr>
        <w:t xml:space="preserve">A este respecto, si bien el terrorismo constituye una de las manifestaciones más visibles y percibidas de grupos extremistas violentos, la naturaleza de las atrocidades masivas perpetradas por el </w:t>
      </w:r>
      <w:r>
        <w:rPr>
          <w:rFonts w:ascii="Garamond" w:hAnsi="Garamond"/>
          <w:color w:val="212121"/>
          <w:u w:color="212121"/>
          <w:shd w:val="clear" w:color="auto" w:fill="FFFFFF"/>
          <w:lang w:val="es-ES"/>
        </w:rPr>
        <w:t>ISIL</w:t>
      </w:r>
      <w:r w:rsidRPr="006750D6">
        <w:rPr>
          <w:rFonts w:ascii="Garamond" w:hAnsi="Garamond"/>
          <w:color w:val="212121"/>
          <w:u w:color="212121"/>
          <w:shd w:val="clear" w:color="auto" w:fill="FFFFFF"/>
          <w:lang w:val="es-ES"/>
        </w:rPr>
        <w:t xml:space="preserve"> debe abordarse adecuadamente, a saber: (1) </w:t>
      </w:r>
      <w:r w:rsidRPr="006750D6">
        <w:rPr>
          <w:rFonts w:ascii="Garamond" w:hAnsi="Garamond"/>
          <w:color w:val="212121"/>
          <w:u w:val="single"/>
          <w:shd w:val="clear" w:color="auto" w:fill="FFFFFF"/>
          <w:lang w:val="es-ES"/>
        </w:rPr>
        <w:t>genocidio</w:t>
      </w:r>
      <w:r w:rsidRPr="006750D6">
        <w:rPr>
          <w:rFonts w:ascii="Garamond" w:hAnsi="Garamond"/>
          <w:color w:val="212121"/>
          <w:u w:color="212121"/>
          <w:shd w:val="clear" w:color="auto" w:fill="FFFFFF"/>
          <w:lang w:val="es-ES"/>
        </w:rPr>
        <w:t xml:space="preserve">, (2) </w:t>
      </w:r>
      <w:r w:rsidRPr="006750D6">
        <w:rPr>
          <w:rFonts w:ascii="Garamond" w:hAnsi="Garamond"/>
          <w:color w:val="212121"/>
          <w:u w:val="single"/>
          <w:shd w:val="clear" w:color="auto" w:fill="FFFFFF"/>
          <w:lang w:val="es-ES"/>
        </w:rPr>
        <w:t>crímenes de lesa humanidad</w:t>
      </w:r>
      <w:r>
        <w:rPr>
          <w:rFonts w:ascii="Garamond" w:hAnsi="Garamond"/>
          <w:color w:val="212121"/>
          <w:u w:color="212121"/>
          <w:shd w:val="clear" w:color="auto" w:fill="FFFFFF"/>
          <w:lang w:val="es-ES"/>
        </w:rPr>
        <w:t xml:space="preserve"> y (3) </w:t>
      </w:r>
      <w:r w:rsidRPr="006750D6">
        <w:rPr>
          <w:rFonts w:ascii="Garamond" w:hAnsi="Garamond"/>
          <w:color w:val="212121"/>
          <w:u w:val="single"/>
          <w:shd w:val="clear" w:color="auto" w:fill="FFFFFF"/>
          <w:lang w:val="es-ES"/>
        </w:rPr>
        <w:t>crímenes de guerra</w:t>
      </w:r>
      <w:r w:rsidRPr="006750D6">
        <w:rPr>
          <w:rFonts w:ascii="Garamond" w:hAnsi="Garamond"/>
          <w:color w:val="212121"/>
          <w:u w:color="212121"/>
          <w:shd w:val="clear" w:color="auto" w:fill="FFFFFF"/>
          <w:lang w:val="es-ES"/>
        </w:rPr>
        <w:t xml:space="preserve">, incluida la destrucción de sitios del patrimonio cultural, y (4) el </w:t>
      </w:r>
      <w:r w:rsidRPr="006750D6">
        <w:rPr>
          <w:rFonts w:ascii="Garamond" w:hAnsi="Garamond"/>
          <w:color w:val="212121"/>
          <w:u w:val="single"/>
          <w:shd w:val="clear" w:color="auto" w:fill="FFFFFF"/>
          <w:lang w:val="es-ES"/>
        </w:rPr>
        <w:t>crimen de agresión</w:t>
      </w:r>
      <w:r w:rsidRPr="006750D6">
        <w:rPr>
          <w:rFonts w:ascii="Garamond" w:hAnsi="Garamond"/>
          <w:color w:val="212121"/>
          <w:u w:color="212121"/>
          <w:shd w:val="clear" w:color="auto" w:fill="FFFFFF"/>
          <w:lang w:val="es-ES"/>
        </w:rPr>
        <w:t xml:space="preserve">. El enjuiciamiento efectivo de estos crímenes se ve facilitado por la aplicación de los principios generales del derecho penal </w:t>
      </w:r>
      <w:r w:rsidRPr="006750D6">
        <w:rPr>
          <w:rFonts w:ascii="Garamond" w:hAnsi="Garamond"/>
          <w:color w:val="212121"/>
          <w:u w:color="212121"/>
          <w:shd w:val="clear" w:color="auto" w:fill="FFFFFF"/>
          <w:lang w:val="es-ES"/>
        </w:rPr>
        <w:lastRenderedPageBreak/>
        <w:t xml:space="preserve">internacional (es decir, la no aplicabilidad </w:t>
      </w:r>
      <w:r>
        <w:rPr>
          <w:rFonts w:ascii="Garamond" w:hAnsi="Garamond"/>
          <w:color w:val="212121"/>
          <w:u w:color="212121"/>
          <w:shd w:val="clear" w:color="auto" w:fill="FFFFFF"/>
          <w:lang w:val="es-ES"/>
        </w:rPr>
        <w:t>de la prescripción</w:t>
      </w:r>
      <w:r w:rsidRPr="006750D6">
        <w:rPr>
          <w:rFonts w:ascii="Garamond" w:hAnsi="Garamond"/>
          <w:color w:val="212121"/>
          <w:u w:color="212121"/>
          <w:shd w:val="clear" w:color="auto" w:fill="FFFFFF"/>
          <w:lang w:val="es-ES"/>
        </w:rPr>
        <w:t xml:space="preserve"> y de la defensa </w:t>
      </w:r>
      <w:r w:rsidR="00A43E17">
        <w:rPr>
          <w:rFonts w:ascii="Garamond" w:hAnsi="Garamond"/>
          <w:color w:val="212121"/>
          <w:u w:color="212121"/>
          <w:shd w:val="clear" w:color="auto" w:fill="FFFFFF"/>
          <w:lang w:val="es-ES"/>
        </w:rPr>
        <w:t>por cumplimiento de órdenes</w:t>
      </w:r>
      <w:r w:rsidRPr="006750D6">
        <w:rPr>
          <w:rFonts w:ascii="Garamond" w:hAnsi="Garamond"/>
          <w:color w:val="212121"/>
          <w:u w:color="212121"/>
          <w:shd w:val="clear" w:color="auto" w:fill="FFFFFF"/>
          <w:lang w:val="es-ES"/>
        </w:rPr>
        <w:t>, la responsabilidad del mando o la responsabilidad del superior, la irrelevancia de la capacidad oficial, la prohibición de amnistías y otras medidas de impunidad, obligación de enjuiciar, extraditar o entregar a la Corte Penal Internacional). Estos principios generales de derec</w:t>
      </w:r>
      <w:r w:rsidR="00A43E17">
        <w:rPr>
          <w:rFonts w:ascii="Garamond" w:hAnsi="Garamond"/>
          <w:color w:val="212121"/>
          <w:u w:color="212121"/>
          <w:shd w:val="clear" w:color="auto" w:fill="FFFFFF"/>
          <w:lang w:val="es-ES"/>
        </w:rPr>
        <w:t>ho, también conocidos como los “principios de Núremberg”</w:t>
      </w:r>
      <w:r w:rsidRPr="006750D6">
        <w:rPr>
          <w:rFonts w:ascii="Garamond" w:hAnsi="Garamond"/>
          <w:color w:val="212121"/>
          <w:u w:color="212121"/>
          <w:shd w:val="clear" w:color="auto" w:fill="FFFFFF"/>
          <w:lang w:val="es-ES"/>
        </w:rPr>
        <w:t>, no se aplican a los crímenes de la legislación nacional, incluido el terrorismo.</w:t>
      </w:r>
    </w:p>
    <w:p w14:paraId="1C2C5F5A" w14:textId="77777777" w:rsidR="00A43E17" w:rsidRDefault="00A43E17" w:rsidP="006750D6">
      <w:pPr>
        <w:pStyle w:val="Body"/>
        <w:jc w:val="both"/>
        <w:rPr>
          <w:rFonts w:ascii="Garamond" w:hAnsi="Garamond"/>
          <w:color w:val="212121"/>
          <w:u w:color="212121"/>
          <w:shd w:val="clear" w:color="auto" w:fill="FFFFFF"/>
          <w:lang w:val="es-ES"/>
        </w:rPr>
      </w:pPr>
    </w:p>
    <w:p w14:paraId="33388EFA" w14:textId="2B79280E" w:rsidR="00A43E17" w:rsidRDefault="00A43E17" w:rsidP="00A43E17">
      <w:pPr>
        <w:pStyle w:val="Body"/>
        <w:jc w:val="both"/>
        <w:rPr>
          <w:rFonts w:ascii="Garamond" w:hAnsi="Garamond"/>
          <w:color w:val="212121"/>
          <w:u w:color="212121"/>
          <w:shd w:val="clear" w:color="auto" w:fill="FFFFFF"/>
          <w:lang w:val="es-ES"/>
        </w:rPr>
      </w:pPr>
      <w:r w:rsidRPr="00A43E17">
        <w:rPr>
          <w:rFonts w:ascii="Garamond" w:hAnsi="Garamond"/>
          <w:color w:val="212121"/>
          <w:u w:color="212121"/>
          <w:shd w:val="clear" w:color="auto" w:fill="FFFFFF"/>
          <w:lang w:val="es-ES"/>
        </w:rPr>
        <w:t>La Convención de 1948 sobre la Prevención y la Sanción del Delito de Genocidio (</w:t>
      </w:r>
      <w:r w:rsidRPr="00A43E17">
        <w:rPr>
          <w:rFonts w:ascii="Garamond" w:hAnsi="Garamond"/>
          <w:color w:val="212121"/>
          <w:u w:val="single"/>
          <w:shd w:val="clear" w:color="auto" w:fill="FFFFFF"/>
          <w:lang w:val="es-ES"/>
        </w:rPr>
        <w:t>Convención sobre Genocidio</w:t>
      </w:r>
      <w:r w:rsidRPr="00A43E17">
        <w:rPr>
          <w:rFonts w:ascii="Garamond" w:hAnsi="Garamond"/>
          <w:color w:val="212121"/>
          <w:u w:color="212121"/>
          <w:shd w:val="clear" w:color="auto" w:fill="FFFFFF"/>
          <w:lang w:val="es-ES"/>
        </w:rPr>
        <w:t>) es particularmente pertinente, ya que afirma la obligación de todos los Estados de prevenir y erradica</w:t>
      </w:r>
      <w:r>
        <w:rPr>
          <w:rFonts w:ascii="Garamond" w:hAnsi="Garamond"/>
          <w:color w:val="212121"/>
          <w:u w:color="212121"/>
          <w:shd w:val="clear" w:color="auto" w:fill="FFFFFF"/>
          <w:lang w:val="es-ES"/>
        </w:rPr>
        <w:t>r cualquier política genocida: e</w:t>
      </w:r>
      <w:r w:rsidRPr="00A43E17">
        <w:rPr>
          <w:rFonts w:ascii="Garamond" w:hAnsi="Garamond"/>
          <w:color w:val="212121"/>
          <w:u w:color="212121"/>
          <w:shd w:val="clear" w:color="auto" w:fill="FFFFFF"/>
          <w:lang w:val="es-ES"/>
        </w:rPr>
        <w:t xml:space="preserve">sto significa que todos los Estados que son Partes </w:t>
      </w:r>
      <w:r>
        <w:rPr>
          <w:rFonts w:ascii="Garamond" w:hAnsi="Garamond"/>
          <w:color w:val="212121"/>
          <w:u w:color="212121"/>
          <w:shd w:val="clear" w:color="auto" w:fill="FFFFFF"/>
          <w:lang w:val="es-ES"/>
        </w:rPr>
        <w:t>de</w:t>
      </w:r>
      <w:r w:rsidRPr="00A43E17">
        <w:rPr>
          <w:rFonts w:ascii="Garamond" w:hAnsi="Garamond"/>
          <w:color w:val="212121"/>
          <w:u w:color="212121"/>
          <w:shd w:val="clear" w:color="auto" w:fill="FFFFFF"/>
          <w:lang w:val="es-ES"/>
        </w:rPr>
        <w:t xml:space="preserve"> la Convención </w:t>
      </w:r>
      <w:r>
        <w:rPr>
          <w:rFonts w:ascii="Garamond" w:hAnsi="Garamond"/>
          <w:color w:val="212121"/>
          <w:u w:color="212121"/>
          <w:shd w:val="clear" w:color="auto" w:fill="FFFFFF"/>
          <w:lang w:val="es-ES"/>
        </w:rPr>
        <w:t>sobre Genocidio</w:t>
      </w:r>
      <w:r w:rsidRPr="00A43E17">
        <w:rPr>
          <w:rFonts w:ascii="Garamond" w:hAnsi="Garamond"/>
          <w:color w:val="212121"/>
          <w:u w:color="212121"/>
          <w:shd w:val="clear" w:color="auto" w:fill="FFFFFF"/>
          <w:lang w:val="es-ES"/>
        </w:rPr>
        <w:t xml:space="preserve"> debe</w:t>
      </w:r>
      <w:r>
        <w:rPr>
          <w:rFonts w:ascii="Garamond" w:hAnsi="Garamond"/>
          <w:color w:val="212121"/>
          <w:u w:color="212121"/>
          <w:shd w:val="clear" w:color="auto" w:fill="FFFFFF"/>
          <w:lang w:val="es-ES"/>
        </w:rPr>
        <w:t>n</w:t>
      </w:r>
      <w:r w:rsidRPr="00A43E17">
        <w:rPr>
          <w:rFonts w:ascii="Garamond" w:hAnsi="Garamond"/>
          <w:color w:val="212121"/>
          <w:u w:color="212121"/>
          <w:shd w:val="clear" w:color="auto" w:fill="FFFFFF"/>
          <w:lang w:val="es-ES"/>
        </w:rPr>
        <w:t xml:space="preserve"> tomar medidas activas para prevenir, detectar, investigar, enjuiciar y juzgar el crimen de genocidio. Varias entidades e instituciones han reconocido que el </w:t>
      </w:r>
      <w:r>
        <w:rPr>
          <w:rFonts w:ascii="Garamond" w:hAnsi="Garamond"/>
          <w:color w:val="212121"/>
          <w:u w:color="212121"/>
          <w:shd w:val="clear" w:color="auto" w:fill="FFFFFF"/>
          <w:lang w:val="es-ES"/>
        </w:rPr>
        <w:t>ISIL</w:t>
      </w:r>
      <w:r w:rsidRPr="00A43E17">
        <w:rPr>
          <w:rFonts w:ascii="Garamond" w:hAnsi="Garamond"/>
          <w:color w:val="212121"/>
          <w:u w:color="212121"/>
          <w:shd w:val="clear" w:color="auto" w:fill="FFFFFF"/>
          <w:lang w:val="es-ES"/>
        </w:rPr>
        <w:t xml:space="preserve"> ha cometido el delito de genocidio contra minorías étnicas y religiosas, incluidos los yazidis, cristianos, chiíes y otros: entre ellas, el Alto Comisionado de las Naciones Unidas para los Derechos Humanos y la Comisión de Investigación Independiente de la ONU </w:t>
      </w:r>
      <w:r>
        <w:rPr>
          <w:rFonts w:ascii="Garamond" w:hAnsi="Garamond"/>
          <w:color w:val="212121"/>
          <w:u w:color="212121"/>
          <w:shd w:val="clear" w:color="auto" w:fill="FFFFFF"/>
          <w:lang w:val="es-ES"/>
        </w:rPr>
        <w:t xml:space="preserve">sobre </w:t>
      </w:r>
      <w:r w:rsidRPr="00A43E17">
        <w:rPr>
          <w:rFonts w:ascii="Garamond" w:hAnsi="Garamond"/>
          <w:color w:val="212121"/>
          <w:u w:color="212121"/>
          <w:shd w:val="clear" w:color="auto" w:fill="FFFFFF"/>
          <w:lang w:val="es-ES"/>
        </w:rPr>
        <w:t xml:space="preserve">la República Árabe Siria, varios parlamentos nacionales (por ejemplo, Australia, Austria, Canadá, Francia, Italia, Lituania, los Países Bajos, el Reino Unido y los Estados Unidos), el Parlamento Europeo y la Asamblea Parlamentaria del Consejo de Europa. Se necesita urgentemente una acción para dar efecto a las obligaciones contenidas en la Convención </w:t>
      </w:r>
      <w:r>
        <w:rPr>
          <w:rFonts w:ascii="Garamond" w:hAnsi="Garamond"/>
          <w:color w:val="212121"/>
          <w:u w:color="212121"/>
          <w:shd w:val="clear" w:color="auto" w:fill="FFFFFF"/>
          <w:lang w:val="es-ES"/>
        </w:rPr>
        <w:t>sobre</w:t>
      </w:r>
      <w:r w:rsidRPr="00A43E17">
        <w:rPr>
          <w:rFonts w:ascii="Garamond" w:hAnsi="Garamond"/>
          <w:color w:val="212121"/>
          <w:u w:color="212121"/>
          <w:shd w:val="clear" w:color="auto" w:fill="FFFFFF"/>
          <w:lang w:val="es-ES"/>
        </w:rPr>
        <w:t xml:space="preserve"> el Genocidio.</w:t>
      </w:r>
    </w:p>
    <w:p w14:paraId="2AD4D9CA" w14:textId="77777777" w:rsidR="00A43E17" w:rsidRDefault="00A43E17" w:rsidP="00A43E17">
      <w:pPr>
        <w:pStyle w:val="Body"/>
        <w:jc w:val="both"/>
        <w:rPr>
          <w:rFonts w:ascii="Garamond" w:hAnsi="Garamond"/>
          <w:color w:val="212121"/>
          <w:u w:color="212121"/>
          <w:shd w:val="clear" w:color="auto" w:fill="FFFFFF"/>
          <w:lang w:val="es-ES"/>
        </w:rPr>
      </w:pPr>
    </w:p>
    <w:p w14:paraId="7C5B3FDB" w14:textId="017205D6" w:rsidR="00A43E17" w:rsidRDefault="00A43E17" w:rsidP="00A43E17">
      <w:pPr>
        <w:pStyle w:val="Body"/>
        <w:jc w:val="both"/>
        <w:rPr>
          <w:rFonts w:ascii="Garamond" w:hAnsi="Garamond"/>
          <w:color w:val="212121"/>
          <w:u w:color="212121"/>
          <w:shd w:val="clear" w:color="auto" w:fill="FFFFFF"/>
          <w:lang w:val="es-ES"/>
        </w:rPr>
      </w:pPr>
      <w:r w:rsidRPr="00A43E17">
        <w:rPr>
          <w:rFonts w:ascii="Garamond" w:hAnsi="Garamond"/>
          <w:color w:val="212121"/>
          <w:u w:color="212121"/>
          <w:shd w:val="clear" w:color="auto" w:fill="FFFFFF"/>
          <w:lang w:val="es-ES"/>
        </w:rPr>
        <w:t>Para promover un sistema de justicia efectivo e independiente y garantizar la rendición de cuentas, el Consejo de Seguridad de las Naciones Unidas adoptó por unanimidad la Resolución 2379 (2017) el 21 de septiembre de 2017, solicitando al Secretario General de la ONU que establezca un Equipo de Investigación para ayudar a</w:t>
      </w:r>
      <w:r w:rsidR="00F90337">
        <w:rPr>
          <w:rFonts w:ascii="Garamond" w:hAnsi="Garamond"/>
          <w:color w:val="212121"/>
          <w:u w:color="212121"/>
          <w:shd w:val="clear" w:color="auto" w:fill="FFFFFF"/>
          <w:lang w:val="es-ES"/>
        </w:rPr>
        <w:t xml:space="preserve"> que el ISIL rinda cuentas por sus crímenes en Irak</w:t>
      </w:r>
      <w:r w:rsidRPr="00A43E17">
        <w:rPr>
          <w:rFonts w:ascii="Garamond" w:hAnsi="Garamond"/>
          <w:color w:val="212121"/>
          <w:u w:color="212121"/>
          <w:shd w:val="clear" w:color="auto" w:fill="FFFFFF"/>
          <w:lang w:val="es-ES"/>
        </w:rPr>
        <w:t xml:space="preserve">. En la Resolución, el Consejo también alentó a los Estados Miembros y a las organizaciones regionales e intergubernamentales a que brinden asistencia jurídica y </w:t>
      </w:r>
      <w:r w:rsidR="00F90337">
        <w:rPr>
          <w:rFonts w:ascii="Garamond" w:hAnsi="Garamond"/>
          <w:color w:val="212121"/>
          <w:u w:color="212121"/>
          <w:shd w:val="clear" w:color="auto" w:fill="FFFFFF"/>
          <w:lang w:val="es-ES"/>
        </w:rPr>
        <w:t xml:space="preserve">de </w:t>
      </w:r>
      <w:r w:rsidRPr="00A43E17">
        <w:rPr>
          <w:rFonts w:ascii="Garamond" w:hAnsi="Garamond"/>
          <w:color w:val="212121"/>
          <w:u w:color="212121"/>
          <w:shd w:val="clear" w:color="auto" w:fill="FFFFFF"/>
          <w:lang w:val="es-ES"/>
        </w:rPr>
        <w:t>creac</w:t>
      </w:r>
      <w:r w:rsidR="00F90337">
        <w:rPr>
          <w:rFonts w:ascii="Garamond" w:hAnsi="Garamond"/>
          <w:color w:val="212121"/>
          <w:u w:color="212121"/>
          <w:shd w:val="clear" w:color="auto" w:fill="FFFFFF"/>
          <w:lang w:val="es-ES"/>
        </w:rPr>
        <w:t>ión de capacidad al Gobierno de Irak</w:t>
      </w:r>
      <w:r w:rsidRPr="00A43E17">
        <w:rPr>
          <w:rFonts w:ascii="Garamond" w:hAnsi="Garamond"/>
          <w:color w:val="212121"/>
          <w:u w:color="212121"/>
          <w:shd w:val="clear" w:color="auto" w:fill="FFFFFF"/>
          <w:lang w:val="es-ES"/>
        </w:rPr>
        <w:t xml:space="preserve"> para fortalecer sus tribunales y el sistema judicial, y exhortó a todos los demás E</w:t>
      </w:r>
      <w:r w:rsidR="00F90337">
        <w:rPr>
          <w:rFonts w:ascii="Garamond" w:hAnsi="Garamond"/>
          <w:color w:val="212121"/>
          <w:u w:color="212121"/>
          <w:shd w:val="clear" w:color="auto" w:fill="FFFFFF"/>
          <w:lang w:val="es-ES"/>
        </w:rPr>
        <w:t>stados a cooperar con el equipo</w:t>
      </w:r>
      <w:r w:rsidRPr="00A43E17">
        <w:rPr>
          <w:rFonts w:ascii="Garamond" w:hAnsi="Garamond"/>
          <w:color w:val="212121"/>
          <w:u w:color="212121"/>
          <w:shd w:val="clear" w:color="auto" w:fill="FFFFFF"/>
          <w:lang w:val="es-ES"/>
        </w:rPr>
        <w:t>, incluso a través de acuerdos mutuos sobre asistencia legal.</w:t>
      </w:r>
    </w:p>
    <w:p w14:paraId="6E36D3C3" w14:textId="77777777" w:rsidR="00F90337" w:rsidRDefault="00F90337" w:rsidP="00A43E17">
      <w:pPr>
        <w:pStyle w:val="Body"/>
        <w:jc w:val="both"/>
        <w:rPr>
          <w:rFonts w:ascii="Garamond" w:hAnsi="Garamond"/>
          <w:color w:val="212121"/>
          <w:u w:color="212121"/>
          <w:shd w:val="clear" w:color="auto" w:fill="FFFFFF"/>
          <w:lang w:val="es-ES"/>
        </w:rPr>
      </w:pPr>
    </w:p>
    <w:p w14:paraId="1F287544" w14:textId="1F6933B0" w:rsidR="00F90337" w:rsidRDefault="00F90337" w:rsidP="00F90337">
      <w:pPr>
        <w:pStyle w:val="Body"/>
        <w:jc w:val="both"/>
        <w:rPr>
          <w:rFonts w:ascii="Garamond" w:hAnsi="Garamond"/>
          <w:color w:val="212121"/>
          <w:u w:color="212121"/>
          <w:shd w:val="clear" w:color="auto" w:fill="FFFFFF"/>
          <w:lang w:val="es-ES"/>
        </w:rPr>
      </w:pPr>
      <w:r w:rsidRPr="00F90337">
        <w:rPr>
          <w:rFonts w:ascii="Garamond" w:hAnsi="Garamond"/>
          <w:color w:val="212121"/>
          <w:u w:color="212121"/>
          <w:shd w:val="clear" w:color="auto" w:fill="FFFFFF"/>
          <w:lang w:val="es-ES"/>
        </w:rPr>
        <w:t>E</w:t>
      </w:r>
      <w:r w:rsidR="00A01016">
        <w:rPr>
          <w:rFonts w:ascii="Garamond" w:hAnsi="Garamond"/>
          <w:color w:val="212121"/>
          <w:u w:color="212121"/>
          <w:shd w:val="clear" w:color="auto" w:fill="FFFFFF"/>
          <w:lang w:val="es-ES"/>
        </w:rPr>
        <w:t>s necesario enfatizar que la Corte Penal Internacional</w:t>
      </w:r>
      <w:r w:rsidRPr="00F90337">
        <w:rPr>
          <w:rFonts w:ascii="Garamond" w:hAnsi="Garamond"/>
          <w:color w:val="212121"/>
          <w:u w:color="212121"/>
          <w:shd w:val="clear" w:color="auto" w:fill="FFFFFF"/>
          <w:lang w:val="es-ES"/>
        </w:rPr>
        <w:t xml:space="preserve"> actualmente no tiene jurisdicción para juzgar crímenes i</w:t>
      </w:r>
      <w:r>
        <w:rPr>
          <w:rFonts w:ascii="Garamond" w:hAnsi="Garamond"/>
          <w:color w:val="212121"/>
          <w:u w:color="212121"/>
          <w:shd w:val="clear" w:color="auto" w:fill="FFFFFF"/>
          <w:lang w:val="es-ES"/>
        </w:rPr>
        <w:t>nternacionales cometidos en Irak</w:t>
      </w:r>
      <w:r w:rsidRPr="00F90337">
        <w:rPr>
          <w:rFonts w:ascii="Garamond" w:hAnsi="Garamond"/>
          <w:color w:val="212121"/>
          <w:u w:color="212121"/>
          <w:shd w:val="clear" w:color="auto" w:fill="FFFFFF"/>
          <w:lang w:val="es-ES"/>
        </w:rPr>
        <w:t>, dado que carece de legislación que incorpore crímenes internacionales en el ordenamiento jurídico interno.</w:t>
      </w:r>
      <w:r w:rsidRPr="00A01016">
        <w:rPr>
          <w:rStyle w:val="FootnoteReference"/>
          <w:rFonts w:ascii="Garamond" w:hAnsi="Garamond"/>
          <w:color w:val="212121"/>
          <w:u w:color="212121"/>
          <w:shd w:val="clear" w:color="auto" w:fill="FFFFFF"/>
          <w:lang w:val="es-419"/>
        </w:rPr>
        <w:t xml:space="preserve"> </w:t>
      </w:r>
      <w:r w:rsidRPr="00F90337">
        <w:rPr>
          <w:rStyle w:val="FootnoteReference"/>
          <w:rFonts w:ascii="Garamond" w:hAnsi="Garamond"/>
          <w:color w:val="212121"/>
          <w:u w:color="212121"/>
          <w:shd w:val="clear" w:color="auto" w:fill="FFFFFF"/>
        </w:rPr>
        <w:footnoteReference w:id="3"/>
      </w:r>
      <w:r w:rsidRPr="00F90337">
        <w:rPr>
          <w:rFonts w:ascii="Garamond" w:hAnsi="Garamond"/>
          <w:color w:val="212121"/>
          <w:u w:color="212121"/>
          <w:shd w:val="clear" w:color="auto" w:fill="FFFFFF"/>
          <w:lang w:val="es-ES"/>
        </w:rPr>
        <w:t xml:space="preserve"> Por lo tanto, para garantizar la rendición de cuentas por crímenes atroces y garantizar la justicia para todas las víctimas en pleno cumplimiento con respecto a un juicio justo, sería de </w:t>
      </w:r>
      <w:r w:rsidR="008864A0">
        <w:rPr>
          <w:rFonts w:ascii="Garamond" w:hAnsi="Garamond"/>
          <w:color w:val="212121"/>
          <w:u w:color="212121"/>
          <w:shd w:val="clear" w:color="auto" w:fill="FFFFFF"/>
          <w:lang w:val="es-ES"/>
        </w:rPr>
        <w:t>particular importancia para Irak</w:t>
      </w:r>
      <w:r w:rsidRPr="00F90337">
        <w:rPr>
          <w:rFonts w:ascii="Garamond" w:hAnsi="Garamond"/>
          <w:color w:val="212121"/>
          <w:u w:color="212121"/>
          <w:shd w:val="clear" w:color="auto" w:fill="FFFFFF"/>
          <w:lang w:val="es-ES"/>
        </w:rPr>
        <w:t xml:space="preserve"> adherirse al Estatuto de Roma de la Corte Penal I</w:t>
      </w:r>
      <w:r w:rsidR="008864A0">
        <w:rPr>
          <w:rFonts w:ascii="Garamond" w:hAnsi="Garamond"/>
          <w:color w:val="212121"/>
          <w:u w:color="212121"/>
          <w:shd w:val="clear" w:color="auto" w:fill="FFFFFF"/>
          <w:lang w:val="es-ES"/>
        </w:rPr>
        <w:t>nternacional (CPI) y presentar a</w:t>
      </w:r>
      <w:r w:rsidRPr="00F90337">
        <w:rPr>
          <w:rFonts w:ascii="Garamond" w:hAnsi="Garamond"/>
          <w:color w:val="212121"/>
          <w:u w:color="212121"/>
          <w:shd w:val="clear" w:color="auto" w:fill="FFFFFF"/>
          <w:lang w:val="es-ES"/>
        </w:rPr>
        <w:t>l Registrador de la CPI una declar</w:t>
      </w:r>
      <w:r w:rsidR="008864A0">
        <w:rPr>
          <w:rFonts w:ascii="Garamond" w:hAnsi="Garamond"/>
          <w:color w:val="212121"/>
          <w:u w:color="212121"/>
          <w:shd w:val="clear" w:color="auto" w:fill="FFFFFF"/>
          <w:lang w:val="es-ES"/>
        </w:rPr>
        <w:t>ación en virtud del Artículo 12</w:t>
      </w:r>
      <w:r w:rsidRPr="00F90337">
        <w:rPr>
          <w:rFonts w:ascii="Garamond" w:hAnsi="Garamond"/>
          <w:color w:val="212121"/>
          <w:u w:color="212121"/>
          <w:shd w:val="clear" w:color="auto" w:fill="FFFFFF"/>
          <w:lang w:val="es-ES"/>
        </w:rPr>
        <w:t>(3) del Estatuto de R</w:t>
      </w:r>
      <w:r w:rsidR="008864A0">
        <w:rPr>
          <w:rFonts w:ascii="Garamond" w:hAnsi="Garamond"/>
          <w:color w:val="212121"/>
          <w:u w:color="212121"/>
          <w:shd w:val="clear" w:color="auto" w:fill="FFFFFF"/>
          <w:lang w:val="es-ES"/>
        </w:rPr>
        <w:t xml:space="preserve">oma, </w:t>
      </w:r>
      <w:r w:rsidRPr="00F90337">
        <w:rPr>
          <w:rFonts w:ascii="Garamond" w:hAnsi="Garamond"/>
          <w:color w:val="212121"/>
          <w:u w:color="212121"/>
          <w:shd w:val="clear" w:color="auto" w:fill="FFFFFF"/>
          <w:lang w:val="es-ES"/>
        </w:rPr>
        <w:t>otorga</w:t>
      </w:r>
      <w:r w:rsidR="008864A0">
        <w:rPr>
          <w:rFonts w:ascii="Garamond" w:hAnsi="Garamond"/>
          <w:color w:val="212121"/>
          <w:u w:color="212121"/>
          <w:shd w:val="clear" w:color="auto" w:fill="FFFFFF"/>
          <w:lang w:val="es-ES"/>
        </w:rPr>
        <w:t>ndo</w:t>
      </w:r>
      <w:r w:rsidRPr="00F90337">
        <w:rPr>
          <w:rFonts w:ascii="Garamond" w:hAnsi="Garamond"/>
          <w:color w:val="212121"/>
          <w:u w:color="212121"/>
          <w:shd w:val="clear" w:color="auto" w:fill="FFFFFF"/>
          <w:lang w:val="es-ES"/>
        </w:rPr>
        <w:t xml:space="preserve"> a la CPI jurisdicción sobre los crímenes internacionales cometidos en los últimos años por el ISIL y otros grupos extremistas vi</w:t>
      </w:r>
      <w:r w:rsidR="008864A0">
        <w:rPr>
          <w:rFonts w:ascii="Garamond" w:hAnsi="Garamond"/>
          <w:color w:val="212121"/>
          <w:u w:color="212121"/>
          <w:shd w:val="clear" w:color="auto" w:fill="FFFFFF"/>
          <w:lang w:val="es-ES"/>
        </w:rPr>
        <w:t>olentos en el territorio de Irak</w:t>
      </w:r>
      <w:r w:rsidRPr="00F90337">
        <w:rPr>
          <w:rFonts w:ascii="Garamond" w:hAnsi="Garamond"/>
          <w:color w:val="212121"/>
          <w:u w:color="212121"/>
          <w:shd w:val="clear" w:color="auto" w:fill="FFFFFF"/>
          <w:lang w:val="es-ES"/>
        </w:rPr>
        <w:t>.</w:t>
      </w:r>
    </w:p>
    <w:p w14:paraId="32A4DE6E" w14:textId="77777777" w:rsidR="008864A0" w:rsidRDefault="008864A0" w:rsidP="00F90337">
      <w:pPr>
        <w:pStyle w:val="Body"/>
        <w:jc w:val="both"/>
        <w:rPr>
          <w:rFonts w:ascii="Garamond" w:hAnsi="Garamond"/>
          <w:color w:val="212121"/>
          <w:u w:color="212121"/>
          <w:shd w:val="clear" w:color="auto" w:fill="FFFFFF"/>
          <w:lang w:val="es-ES"/>
        </w:rPr>
      </w:pPr>
    </w:p>
    <w:p w14:paraId="115CC071" w14:textId="77777777" w:rsidR="008864A0" w:rsidRPr="00A01016" w:rsidRDefault="008864A0" w:rsidP="008864A0">
      <w:pPr>
        <w:pStyle w:val="Body"/>
        <w:jc w:val="both"/>
        <w:rPr>
          <w:rFonts w:ascii="Garamond" w:hAnsi="Garamond"/>
          <w:color w:val="212121"/>
          <w:u w:val="single"/>
          <w:shd w:val="clear" w:color="auto" w:fill="FFFFFF"/>
          <w:lang w:val="es-419"/>
        </w:rPr>
      </w:pPr>
      <w:r w:rsidRPr="008864A0">
        <w:rPr>
          <w:rFonts w:ascii="Garamond" w:hAnsi="Garamond"/>
          <w:color w:val="212121"/>
          <w:u w:val="single"/>
          <w:shd w:val="clear" w:color="auto" w:fill="FFFFFF"/>
          <w:lang w:val="es-ES"/>
        </w:rPr>
        <w:t>En este contexto, nos gustaría formular las siguientes preguntas:</w:t>
      </w:r>
    </w:p>
    <w:p w14:paraId="5240895B" w14:textId="77777777" w:rsidR="00EC4186" w:rsidRPr="00A01016" w:rsidRDefault="00EC4186">
      <w:pPr>
        <w:pStyle w:val="Body"/>
        <w:jc w:val="both"/>
        <w:rPr>
          <w:rFonts w:ascii="Garamond" w:eastAsia="Garamond" w:hAnsi="Garamond" w:cs="Garamond"/>
          <w:lang w:val="es-419"/>
        </w:rPr>
      </w:pPr>
    </w:p>
    <w:p w14:paraId="38A6AEB3" w14:textId="73F0A5B9" w:rsidR="008864A0" w:rsidRPr="00A01016" w:rsidRDefault="008864A0" w:rsidP="008864A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heme="minorEastAsia" w:hAnsi="Garamond" w:cs="Courier"/>
          <w:b/>
          <w:color w:val="212121"/>
          <w:szCs w:val="20"/>
          <w:bdr w:val="none" w:sz="0" w:space="0" w:color="auto"/>
          <w:lang w:val="es-419"/>
        </w:rPr>
      </w:pPr>
      <w:r w:rsidRPr="008864A0">
        <w:rPr>
          <w:rFonts w:ascii="Garamond" w:eastAsiaTheme="minorEastAsia" w:hAnsi="Garamond" w:cs="Courier"/>
          <w:b/>
          <w:color w:val="212121"/>
          <w:szCs w:val="20"/>
          <w:bdr w:val="none" w:sz="0" w:space="0" w:color="auto"/>
          <w:lang w:val="es-ES"/>
        </w:rPr>
        <w:t xml:space="preserve">¿Ha adoptado el Gobierno medidas legislativas adecuadas para prevenir y castigar los crímenes internacionales, a saber, el genocidio, los crímenes de lesa humanidad y los crímenes de guerra cometidos por el </w:t>
      </w:r>
      <w:r>
        <w:rPr>
          <w:rFonts w:ascii="Garamond" w:eastAsiaTheme="minorEastAsia" w:hAnsi="Garamond" w:cs="Courier"/>
          <w:b/>
          <w:color w:val="212121"/>
          <w:szCs w:val="20"/>
          <w:bdr w:val="none" w:sz="0" w:space="0" w:color="auto"/>
          <w:lang w:val="es-ES"/>
        </w:rPr>
        <w:t>ISIL</w:t>
      </w:r>
      <w:r w:rsidRPr="008864A0">
        <w:rPr>
          <w:rFonts w:ascii="Garamond" w:eastAsiaTheme="minorEastAsia" w:hAnsi="Garamond" w:cs="Courier"/>
          <w:b/>
          <w:color w:val="212121"/>
          <w:szCs w:val="20"/>
          <w:bdr w:val="none" w:sz="0" w:space="0" w:color="auto"/>
          <w:lang w:val="es-ES"/>
        </w:rPr>
        <w:t xml:space="preserve"> y otros grupos extremistas?</w:t>
      </w:r>
    </w:p>
    <w:p w14:paraId="72129115" w14:textId="77777777" w:rsidR="008864A0" w:rsidRPr="00A01016" w:rsidRDefault="008864A0" w:rsidP="008864A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heme="minorEastAsia" w:hAnsi="Garamond" w:cs="Courier"/>
          <w:b/>
          <w:color w:val="212121"/>
          <w:szCs w:val="20"/>
          <w:bdr w:val="none" w:sz="0" w:space="0" w:color="auto"/>
          <w:lang w:val="es-419"/>
        </w:rPr>
      </w:pPr>
    </w:p>
    <w:p w14:paraId="32D6F567" w14:textId="0DFDB1DE" w:rsidR="008864A0" w:rsidRPr="008864A0" w:rsidRDefault="008864A0" w:rsidP="008864A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heme="minorEastAsia" w:hAnsi="Garamond" w:cs="Courier"/>
          <w:b/>
          <w:color w:val="212121"/>
          <w:szCs w:val="20"/>
          <w:bdr w:val="none" w:sz="0" w:space="0" w:color="auto"/>
        </w:rPr>
      </w:pPr>
      <w:r w:rsidRPr="008864A0">
        <w:rPr>
          <w:rFonts w:ascii="Garamond" w:eastAsiaTheme="minorEastAsia" w:hAnsi="Garamond" w:cs="Courier"/>
          <w:b/>
          <w:color w:val="212121"/>
          <w:szCs w:val="20"/>
          <w:bdr w:val="none" w:sz="0" w:space="0" w:color="auto"/>
          <w:lang w:val="es-ES"/>
        </w:rPr>
        <w:t xml:space="preserve">A) ¿Qué medidas ha tomado el Gobierno para garantizar el enjuiciamiento nacional de </w:t>
      </w:r>
      <w:r>
        <w:rPr>
          <w:rFonts w:ascii="Garamond" w:eastAsiaTheme="minorEastAsia" w:hAnsi="Garamond" w:cs="Courier"/>
          <w:b/>
          <w:color w:val="212121"/>
          <w:szCs w:val="20"/>
          <w:bdr w:val="none" w:sz="0" w:space="0" w:color="auto"/>
          <w:lang w:val="es-ES"/>
        </w:rPr>
        <w:t>sus</w:t>
      </w:r>
      <w:r w:rsidRPr="008864A0">
        <w:rPr>
          <w:rFonts w:ascii="Garamond" w:eastAsiaTheme="minorEastAsia" w:hAnsi="Garamond" w:cs="Courier"/>
          <w:b/>
          <w:color w:val="212121"/>
          <w:szCs w:val="20"/>
          <w:bdr w:val="none" w:sz="0" w:space="0" w:color="auto"/>
          <w:lang w:val="es-ES"/>
        </w:rPr>
        <w:t xml:space="preserve"> nacionales que se han unido a grupos extremistas violentos como el </w:t>
      </w:r>
      <w:r>
        <w:rPr>
          <w:rFonts w:ascii="Garamond" w:eastAsiaTheme="minorEastAsia" w:hAnsi="Garamond" w:cs="Courier"/>
          <w:b/>
          <w:color w:val="212121"/>
          <w:szCs w:val="20"/>
          <w:bdr w:val="none" w:sz="0" w:space="0" w:color="auto"/>
          <w:lang w:val="es-ES"/>
        </w:rPr>
        <w:t>ISIL</w:t>
      </w:r>
      <w:r w:rsidRPr="008864A0">
        <w:rPr>
          <w:rFonts w:ascii="Garamond" w:eastAsiaTheme="minorEastAsia" w:hAnsi="Garamond" w:cs="Courier"/>
          <w:b/>
          <w:color w:val="212121"/>
          <w:szCs w:val="20"/>
          <w:bdr w:val="none" w:sz="0" w:space="0" w:color="auto"/>
          <w:lang w:val="es-ES"/>
        </w:rPr>
        <w:t>? ¿Cuántos (antiguos) combatientes de ISIS tenemos en nuestro país (como repatriados, como solicitantes de asilo u otros) y cuántos son procesados? ¿Cuál es la estrategia de enjuiciamiento?</w:t>
      </w:r>
    </w:p>
    <w:p w14:paraId="15BF8627" w14:textId="4F2F1565" w:rsidR="008864A0" w:rsidRPr="00A01016" w:rsidRDefault="008864A0" w:rsidP="00886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inherit" w:eastAsiaTheme="minorEastAsia" w:hAnsi="inherit" w:cs="Courier"/>
          <w:color w:val="212121"/>
          <w:sz w:val="20"/>
          <w:szCs w:val="20"/>
          <w:bdr w:val="none" w:sz="0" w:space="0" w:color="auto"/>
          <w:lang w:val="es-419"/>
        </w:rPr>
      </w:pPr>
      <w:r w:rsidRPr="008864A0">
        <w:rPr>
          <w:rFonts w:ascii="Garamond" w:eastAsiaTheme="minorEastAsia" w:hAnsi="Garamond" w:cs="Courier"/>
          <w:color w:val="212121"/>
          <w:szCs w:val="20"/>
          <w:bdr w:val="none" w:sz="0" w:space="0" w:color="auto"/>
          <w:lang w:val="es-ES"/>
        </w:rPr>
        <w:lastRenderedPageBreak/>
        <w:t xml:space="preserve">B) En caso de que tales nacionales sean arrestados en otro país, donde puedan </w:t>
      </w:r>
      <w:r w:rsidR="008A615F">
        <w:rPr>
          <w:rFonts w:ascii="Garamond" w:eastAsiaTheme="minorEastAsia" w:hAnsi="Garamond" w:cs="Courier"/>
          <w:color w:val="212121"/>
          <w:szCs w:val="20"/>
          <w:bdr w:val="none" w:sz="0" w:space="0" w:color="auto"/>
          <w:lang w:val="es-ES"/>
        </w:rPr>
        <w:t>ser sometidos a juicio injusto o</w:t>
      </w:r>
      <w:r w:rsidRPr="008864A0">
        <w:rPr>
          <w:rFonts w:ascii="Garamond" w:eastAsiaTheme="minorEastAsia" w:hAnsi="Garamond" w:cs="Courier"/>
          <w:color w:val="212121"/>
          <w:szCs w:val="20"/>
          <w:bdr w:val="none" w:sz="0" w:space="0" w:color="auto"/>
          <w:lang w:val="es-ES"/>
        </w:rPr>
        <w:t xml:space="preserve"> </w:t>
      </w:r>
      <w:bookmarkStart w:id="0" w:name="_GoBack"/>
      <w:bookmarkEnd w:id="0"/>
      <w:r w:rsidRPr="008864A0">
        <w:rPr>
          <w:rFonts w:ascii="Garamond" w:eastAsiaTheme="minorEastAsia" w:hAnsi="Garamond" w:cs="Courier"/>
          <w:color w:val="212121"/>
          <w:szCs w:val="20"/>
          <w:bdr w:val="none" w:sz="0" w:space="0" w:color="auto"/>
          <w:lang w:val="es-ES"/>
        </w:rPr>
        <w:t>pena de muerte, ¿ha tomado el gobierno medidas activas para solicitar la extradición a fin de garantizar que los acusados ​​comparecen ante la justicia de</w:t>
      </w:r>
      <w:r>
        <w:rPr>
          <w:rFonts w:ascii="Garamond" w:eastAsiaTheme="minorEastAsia" w:hAnsi="Garamond" w:cs="Courier"/>
          <w:color w:val="212121"/>
          <w:szCs w:val="20"/>
          <w:bdr w:val="none" w:sz="0" w:space="0" w:color="auto"/>
          <w:lang w:val="es-ES"/>
        </w:rPr>
        <w:t xml:space="preserve"> conformidad con lo</w:t>
      </w:r>
      <w:r w:rsidRPr="008864A0">
        <w:rPr>
          <w:rFonts w:ascii="Garamond" w:eastAsiaTheme="minorEastAsia" w:hAnsi="Garamond" w:cs="Courier"/>
          <w:color w:val="212121"/>
          <w:szCs w:val="20"/>
          <w:bdr w:val="none" w:sz="0" w:space="0" w:color="auto"/>
          <w:lang w:val="es-ES"/>
        </w:rPr>
        <w:t xml:space="preserve">s </w:t>
      </w:r>
      <w:r>
        <w:rPr>
          <w:rFonts w:ascii="Garamond" w:eastAsiaTheme="minorEastAsia" w:hAnsi="Garamond" w:cs="Courier"/>
          <w:color w:val="212121"/>
          <w:szCs w:val="20"/>
          <w:bdr w:val="none" w:sz="0" w:space="0" w:color="auto"/>
          <w:lang w:val="es-ES"/>
        </w:rPr>
        <w:t>e</w:t>
      </w:r>
      <w:r w:rsidR="00E066E9">
        <w:rPr>
          <w:rFonts w:ascii="Garamond" w:eastAsiaTheme="minorEastAsia" w:hAnsi="Garamond" w:cs="Courier"/>
          <w:color w:val="212121"/>
          <w:szCs w:val="20"/>
          <w:bdr w:val="none" w:sz="0" w:space="0" w:color="auto"/>
          <w:lang w:val="es-ES"/>
        </w:rPr>
        <w:t xml:space="preserve">stándares internacionalmente </w:t>
      </w:r>
      <w:r w:rsidRPr="008864A0">
        <w:rPr>
          <w:rFonts w:ascii="Garamond" w:eastAsiaTheme="minorEastAsia" w:hAnsi="Garamond" w:cs="Courier"/>
          <w:color w:val="212121"/>
          <w:szCs w:val="20"/>
          <w:bdr w:val="none" w:sz="0" w:space="0" w:color="auto"/>
          <w:lang w:val="es-ES"/>
        </w:rPr>
        <w:t>aceptados aplicables a un juicio justo?</w:t>
      </w:r>
    </w:p>
    <w:p w14:paraId="2CF987B6" w14:textId="77777777" w:rsidR="00EC4186" w:rsidRPr="00A01016" w:rsidRDefault="00EC4186">
      <w:pPr>
        <w:pStyle w:val="Body"/>
        <w:jc w:val="both"/>
        <w:rPr>
          <w:rFonts w:ascii="Garamond" w:eastAsia="Garamond" w:hAnsi="Garamond" w:cs="Garamond"/>
          <w:lang w:val="es-419"/>
        </w:rPr>
      </w:pPr>
    </w:p>
    <w:p w14:paraId="5B53E8E3" w14:textId="1D121F2A" w:rsidR="00E066E9" w:rsidRPr="00A01016" w:rsidRDefault="00E066E9" w:rsidP="00E066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heme="minorEastAsia" w:hAnsi="Garamond" w:cs="Courier"/>
          <w:b/>
          <w:color w:val="212121"/>
          <w:szCs w:val="20"/>
          <w:bdr w:val="none" w:sz="0" w:space="0" w:color="auto"/>
          <w:lang w:val="es-419"/>
        </w:rPr>
      </w:pPr>
      <w:r w:rsidRPr="00E066E9">
        <w:rPr>
          <w:rFonts w:ascii="Garamond" w:eastAsiaTheme="minorEastAsia" w:hAnsi="Garamond" w:cs="Courier"/>
          <w:b/>
          <w:color w:val="212121"/>
          <w:szCs w:val="20"/>
          <w:bdr w:val="none" w:sz="0" w:space="0" w:color="auto"/>
          <w:lang w:val="es-ES"/>
        </w:rPr>
        <w:t xml:space="preserve">¿Ha realizado el Gobierno esfuerzos </w:t>
      </w:r>
      <w:r>
        <w:rPr>
          <w:rFonts w:ascii="Garamond" w:eastAsiaTheme="minorEastAsia" w:hAnsi="Garamond" w:cs="Courier"/>
          <w:b/>
          <w:color w:val="212121"/>
          <w:szCs w:val="20"/>
          <w:bdr w:val="none" w:sz="0" w:space="0" w:color="auto"/>
          <w:lang w:val="es-ES"/>
        </w:rPr>
        <w:t>para hacer un llamamiento a Irak</w:t>
      </w:r>
      <w:r w:rsidRPr="00E066E9">
        <w:rPr>
          <w:rFonts w:ascii="Garamond" w:eastAsiaTheme="minorEastAsia" w:hAnsi="Garamond" w:cs="Courier"/>
          <w:b/>
          <w:color w:val="212121"/>
          <w:szCs w:val="20"/>
          <w:bdr w:val="none" w:sz="0" w:space="0" w:color="auto"/>
          <w:lang w:val="es-ES"/>
        </w:rPr>
        <w:t xml:space="preserve"> para que se adhiera a la CPI y acepte su jur</w:t>
      </w:r>
      <w:r>
        <w:rPr>
          <w:rFonts w:ascii="Garamond" w:eastAsiaTheme="minorEastAsia" w:hAnsi="Garamond" w:cs="Courier"/>
          <w:b/>
          <w:color w:val="212121"/>
          <w:szCs w:val="20"/>
          <w:bdr w:val="none" w:sz="0" w:space="0" w:color="auto"/>
          <w:lang w:val="es-ES"/>
        </w:rPr>
        <w:t>isdicción en virtud del art. 12</w:t>
      </w:r>
      <w:r w:rsidRPr="00E066E9">
        <w:rPr>
          <w:rFonts w:ascii="Garamond" w:eastAsiaTheme="minorEastAsia" w:hAnsi="Garamond" w:cs="Courier"/>
          <w:b/>
          <w:color w:val="212121"/>
          <w:szCs w:val="20"/>
          <w:bdr w:val="none" w:sz="0" w:space="0" w:color="auto"/>
          <w:lang w:val="es-ES"/>
        </w:rPr>
        <w:t xml:space="preserve">(3) del Estatuto de Roma </w:t>
      </w:r>
      <w:r>
        <w:rPr>
          <w:rFonts w:ascii="Garamond" w:eastAsiaTheme="minorEastAsia" w:hAnsi="Garamond" w:cs="Courier"/>
          <w:b/>
          <w:color w:val="212121"/>
          <w:szCs w:val="20"/>
          <w:bdr w:val="none" w:sz="0" w:space="0" w:color="auto"/>
          <w:lang w:val="es-ES"/>
        </w:rPr>
        <w:t>sobre</w:t>
      </w:r>
      <w:r w:rsidRPr="00E066E9">
        <w:rPr>
          <w:rFonts w:ascii="Garamond" w:eastAsiaTheme="minorEastAsia" w:hAnsi="Garamond" w:cs="Courier"/>
          <w:b/>
          <w:color w:val="212121"/>
          <w:szCs w:val="20"/>
          <w:bdr w:val="none" w:sz="0" w:space="0" w:color="auto"/>
          <w:lang w:val="es-ES"/>
        </w:rPr>
        <w:t xml:space="preserve"> el período durante el cual el ISIL y otros grupos extremistas violentos presuntamente come</w:t>
      </w:r>
      <w:r>
        <w:rPr>
          <w:rFonts w:ascii="Garamond" w:eastAsiaTheme="minorEastAsia" w:hAnsi="Garamond" w:cs="Courier"/>
          <w:b/>
          <w:color w:val="212121"/>
          <w:szCs w:val="20"/>
          <w:bdr w:val="none" w:sz="0" w:space="0" w:color="auto"/>
          <w:lang w:val="es-ES"/>
        </w:rPr>
        <w:t>tieron crímenes internacionales?</w:t>
      </w:r>
    </w:p>
    <w:p w14:paraId="2D2E9F1C" w14:textId="77777777" w:rsidR="00EC4186" w:rsidRPr="00A01016" w:rsidRDefault="00EC4186">
      <w:pPr>
        <w:pStyle w:val="Body"/>
        <w:jc w:val="both"/>
        <w:rPr>
          <w:rFonts w:ascii="Garamond" w:eastAsia="Garamond" w:hAnsi="Garamond" w:cs="Garamond"/>
          <w:lang w:val="es-419"/>
        </w:rPr>
      </w:pPr>
    </w:p>
    <w:p w14:paraId="60D635EE" w14:textId="6E4BDE2E" w:rsidR="00E066E9" w:rsidRPr="00A01016" w:rsidRDefault="00E066E9" w:rsidP="00E066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heme="minorEastAsia" w:hAnsi="Garamond" w:cs="Courier"/>
          <w:b/>
          <w:color w:val="212121"/>
          <w:szCs w:val="20"/>
          <w:bdr w:val="none" w:sz="0" w:space="0" w:color="auto"/>
          <w:lang w:val="es-419"/>
        </w:rPr>
      </w:pPr>
      <w:r w:rsidRPr="00E066E9">
        <w:rPr>
          <w:rFonts w:ascii="Garamond" w:eastAsiaTheme="minorEastAsia" w:hAnsi="Garamond" w:cs="Courier"/>
          <w:b/>
          <w:color w:val="212121"/>
          <w:szCs w:val="20"/>
          <w:bdr w:val="none" w:sz="0" w:space="0" w:color="auto"/>
          <w:lang w:val="es-ES"/>
        </w:rPr>
        <w:t xml:space="preserve">A) ¿Ha dado efecto el Gobierno a la Resolución 2379 (2017) del Consejo de </w:t>
      </w:r>
      <w:r>
        <w:rPr>
          <w:rFonts w:ascii="Garamond" w:eastAsiaTheme="minorEastAsia" w:hAnsi="Garamond" w:cs="Courier"/>
          <w:b/>
          <w:color w:val="212121"/>
          <w:szCs w:val="20"/>
          <w:bdr w:val="none" w:sz="0" w:space="0" w:color="auto"/>
          <w:lang w:val="es-ES"/>
        </w:rPr>
        <w:t>Seguridad de la ONU</w:t>
      </w:r>
      <w:r w:rsidRPr="00E066E9">
        <w:rPr>
          <w:rFonts w:ascii="Garamond" w:eastAsiaTheme="minorEastAsia" w:hAnsi="Garamond" w:cs="Courier"/>
          <w:b/>
          <w:color w:val="212121"/>
          <w:szCs w:val="20"/>
          <w:bdr w:val="none" w:sz="0" w:space="0" w:color="auto"/>
          <w:lang w:val="es-ES"/>
        </w:rPr>
        <w:t xml:space="preserve"> y tomado medidas para proporcionar </w:t>
      </w:r>
      <w:r>
        <w:rPr>
          <w:rFonts w:ascii="Garamond" w:eastAsiaTheme="minorEastAsia" w:hAnsi="Garamond" w:cs="Courier"/>
          <w:b/>
          <w:color w:val="212121"/>
          <w:szCs w:val="20"/>
          <w:bdr w:val="none" w:sz="0" w:space="0" w:color="auto"/>
          <w:lang w:val="es-ES"/>
        </w:rPr>
        <w:t xml:space="preserve">la adecuada </w:t>
      </w:r>
      <w:r w:rsidRPr="00E066E9">
        <w:rPr>
          <w:rFonts w:ascii="Garamond" w:eastAsiaTheme="minorEastAsia" w:hAnsi="Garamond" w:cs="Courier"/>
          <w:b/>
          <w:color w:val="212121"/>
          <w:szCs w:val="20"/>
          <w:bdr w:val="none" w:sz="0" w:space="0" w:color="auto"/>
          <w:lang w:val="es-ES"/>
        </w:rPr>
        <w:t xml:space="preserve">asistencia legal y </w:t>
      </w:r>
      <w:r>
        <w:rPr>
          <w:rFonts w:ascii="Garamond" w:eastAsiaTheme="minorEastAsia" w:hAnsi="Garamond" w:cs="Courier"/>
          <w:b/>
          <w:color w:val="212121"/>
          <w:szCs w:val="20"/>
          <w:bdr w:val="none" w:sz="0" w:space="0" w:color="auto"/>
          <w:lang w:val="es-ES"/>
        </w:rPr>
        <w:t xml:space="preserve">de </w:t>
      </w:r>
      <w:r w:rsidRPr="00E066E9">
        <w:rPr>
          <w:rFonts w:ascii="Garamond" w:eastAsiaTheme="minorEastAsia" w:hAnsi="Garamond" w:cs="Courier"/>
          <w:b/>
          <w:color w:val="212121"/>
          <w:szCs w:val="20"/>
          <w:bdr w:val="none" w:sz="0" w:space="0" w:color="auto"/>
          <w:lang w:val="es-ES"/>
        </w:rPr>
        <w:t>desarroll</w:t>
      </w:r>
      <w:r>
        <w:rPr>
          <w:rFonts w:ascii="Garamond" w:eastAsiaTheme="minorEastAsia" w:hAnsi="Garamond" w:cs="Courier"/>
          <w:b/>
          <w:color w:val="212121"/>
          <w:szCs w:val="20"/>
          <w:bdr w:val="none" w:sz="0" w:space="0" w:color="auto"/>
          <w:lang w:val="es-ES"/>
        </w:rPr>
        <w:t>o de capacidades al Gobierno de Irak</w:t>
      </w:r>
      <w:r w:rsidRPr="00E066E9">
        <w:rPr>
          <w:rFonts w:ascii="Garamond" w:eastAsiaTheme="minorEastAsia" w:hAnsi="Garamond" w:cs="Courier"/>
          <w:b/>
          <w:color w:val="212121"/>
          <w:szCs w:val="20"/>
          <w:bdr w:val="none" w:sz="0" w:space="0" w:color="auto"/>
          <w:lang w:val="es-ES"/>
        </w:rPr>
        <w:t xml:space="preserve"> para fortalecer sus tribunales y sistema judicial?</w:t>
      </w:r>
    </w:p>
    <w:p w14:paraId="6D38A741" w14:textId="2406A157" w:rsidR="008A2437" w:rsidRPr="00A01016" w:rsidRDefault="00E066E9" w:rsidP="00E066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Garamond" w:eastAsiaTheme="minorEastAsia" w:hAnsi="Garamond" w:cs="Courier"/>
          <w:b/>
          <w:color w:val="212121"/>
          <w:szCs w:val="20"/>
          <w:bdr w:val="none" w:sz="0" w:space="0" w:color="auto"/>
          <w:lang w:val="es-419"/>
        </w:rPr>
      </w:pPr>
      <w:r w:rsidRPr="00E066E9">
        <w:rPr>
          <w:rFonts w:ascii="Garamond" w:eastAsiaTheme="minorEastAsia" w:hAnsi="Garamond" w:cs="Courier"/>
          <w:b/>
          <w:color w:val="212121"/>
          <w:szCs w:val="20"/>
          <w:bdr w:val="none" w:sz="0" w:space="0" w:color="auto"/>
          <w:lang w:val="es-ES"/>
        </w:rPr>
        <w:t>B) ¿Apoya el Gobierno la iniciativa de los Países Bajos en el Consejo de Seguridad de la ONU para establecer un mecanismo internacional para enjuiciamiento y adjudicación?</w:t>
      </w:r>
    </w:p>
    <w:sectPr w:rsidR="008A2437" w:rsidRPr="00A01016" w:rsidSect="00452051">
      <w:headerReference w:type="default" r:id="rId9"/>
      <w:footerReference w:type="default" r:id="rId10"/>
      <w:pgSz w:w="11900" w:h="16840"/>
      <w:pgMar w:top="810" w:right="740" w:bottom="540" w:left="1440" w:header="56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E392" w14:textId="77777777" w:rsidR="00262F1A" w:rsidRDefault="00262F1A">
      <w:r>
        <w:separator/>
      </w:r>
    </w:p>
  </w:endnote>
  <w:endnote w:type="continuationSeparator" w:id="0">
    <w:p w14:paraId="2A055FB9" w14:textId="77777777" w:rsidR="00262F1A" w:rsidRDefault="0026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w:panose1 w:val="02060409020205020404"/>
    <w:charset w:val="00"/>
    <w:family w:val="modern"/>
    <w:pitch w:val="fixed"/>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865704"/>
      <w:docPartObj>
        <w:docPartGallery w:val="Page Numbers (Bottom of Page)"/>
        <w:docPartUnique/>
      </w:docPartObj>
    </w:sdtPr>
    <w:sdtEndPr>
      <w:rPr>
        <w:noProof/>
      </w:rPr>
    </w:sdtEndPr>
    <w:sdtContent>
      <w:p w14:paraId="5E9C807F" w14:textId="078FE2D6" w:rsidR="008864A0" w:rsidRDefault="008864A0">
        <w:pPr>
          <w:pStyle w:val="Footer"/>
          <w:jc w:val="right"/>
        </w:pPr>
        <w:r>
          <w:fldChar w:fldCharType="begin"/>
        </w:r>
        <w:r>
          <w:instrText xml:space="preserve"> PAGE   \* MERGEFORMAT </w:instrText>
        </w:r>
        <w:r>
          <w:fldChar w:fldCharType="separate"/>
        </w:r>
        <w:r w:rsidR="008A615F">
          <w:rPr>
            <w:noProof/>
          </w:rPr>
          <w:t>1</w:t>
        </w:r>
        <w:r>
          <w:rPr>
            <w:noProof/>
          </w:rPr>
          <w:fldChar w:fldCharType="end"/>
        </w:r>
      </w:p>
    </w:sdtContent>
  </w:sdt>
  <w:p w14:paraId="0385453B" w14:textId="77777777" w:rsidR="008864A0" w:rsidRDefault="008864A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D205" w14:textId="77777777" w:rsidR="00262F1A" w:rsidRDefault="00262F1A">
      <w:r>
        <w:separator/>
      </w:r>
    </w:p>
  </w:footnote>
  <w:footnote w:type="continuationSeparator" w:id="0">
    <w:p w14:paraId="3614491A" w14:textId="77777777" w:rsidR="00262F1A" w:rsidRDefault="00262F1A">
      <w:r>
        <w:continuationSeparator/>
      </w:r>
    </w:p>
  </w:footnote>
  <w:footnote w:type="continuationNotice" w:id="1">
    <w:p w14:paraId="53EEEF77" w14:textId="77777777" w:rsidR="00262F1A" w:rsidRDefault="00262F1A"/>
  </w:footnote>
  <w:footnote w:id="2">
    <w:p w14:paraId="6FAA3059" w14:textId="46D31727" w:rsidR="008864A0" w:rsidRPr="00A01016" w:rsidRDefault="008864A0" w:rsidP="00AA0B50">
      <w:pPr>
        <w:pStyle w:val="FootnoteText"/>
        <w:jc w:val="both"/>
        <w:rPr>
          <w:rFonts w:ascii="Garamond" w:eastAsia="Arial Unicode MS" w:hAnsi="Garamond" w:cs="Arial Unicode MS"/>
          <w:sz w:val="18"/>
          <w:szCs w:val="18"/>
          <w:lang w:val="es-419"/>
        </w:rPr>
      </w:pPr>
      <w:r w:rsidRPr="00A26FB9">
        <w:rPr>
          <w:rFonts w:ascii="Garamond" w:hAnsi="Garamond"/>
          <w:sz w:val="18"/>
          <w:szCs w:val="18"/>
          <w:vertAlign w:val="superscript"/>
        </w:rPr>
        <w:footnoteRef/>
      </w:r>
      <w:r w:rsidRPr="00A01016">
        <w:rPr>
          <w:rFonts w:ascii="Garamond" w:eastAsia="Arial Unicode MS" w:hAnsi="Garamond" w:cs="Arial Unicode MS"/>
          <w:sz w:val="18"/>
          <w:szCs w:val="18"/>
          <w:lang w:val="es-419"/>
        </w:rPr>
        <w:t xml:space="preserve"> </w:t>
      </w:r>
      <w:r w:rsidRPr="00AA0B50">
        <w:rPr>
          <w:rFonts w:ascii="Garamond" w:eastAsia="Arial Unicode MS" w:hAnsi="Garamond" w:cs="Arial Unicode MS"/>
          <w:sz w:val="18"/>
          <w:szCs w:val="18"/>
          <w:lang w:val="es-ES"/>
        </w:rPr>
        <w:t xml:space="preserve">Un estudio realizado por el </w:t>
      </w:r>
      <w:r w:rsidRPr="00A01016">
        <w:rPr>
          <w:rFonts w:ascii="Garamond" w:eastAsia="Arial Unicode MS" w:hAnsi="Garamond" w:cs="Arial Unicode MS"/>
          <w:sz w:val="18"/>
          <w:szCs w:val="18"/>
          <w:lang w:val="es-419"/>
        </w:rPr>
        <w:t>Soufan Center</w:t>
      </w:r>
      <w:r w:rsidRPr="00AA0B50">
        <w:rPr>
          <w:rFonts w:ascii="Garamond" w:eastAsia="Arial Unicode MS" w:hAnsi="Garamond" w:cs="Arial Unicode MS"/>
          <w:sz w:val="18"/>
          <w:szCs w:val="18"/>
          <w:lang w:val="es-ES"/>
        </w:rPr>
        <w:t xml:space="preserve"> y la </w:t>
      </w:r>
      <w:r w:rsidRPr="00A01016">
        <w:rPr>
          <w:rFonts w:ascii="Garamond" w:eastAsia="Arial Unicode MS" w:hAnsi="Garamond" w:cs="Arial Unicode MS"/>
          <w:sz w:val="18"/>
          <w:szCs w:val="18"/>
          <w:lang w:val="es-419"/>
        </w:rPr>
        <w:t xml:space="preserve">Global Strategy Network </w:t>
      </w:r>
      <w:r>
        <w:rPr>
          <w:rFonts w:ascii="Garamond" w:eastAsia="Arial Unicode MS" w:hAnsi="Garamond" w:cs="Arial Unicode MS"/>
          <w:sz w:val="18"/>
          <w:szCs w:val="18"/>
          <w:lang w:val="es-ES"/>
        </w:rPr>
        <w:t>ha rastreado a 5.</w:t>
      </w:r>
      <w:r w:rsidRPr="00AA0B50">
        <w:rPr>
          <w:rFonts w:ascii="Garamond" w:eastAsia="Arial Unicode MS" w:hAnsi="Garamond" w:cs="Arial Unicode MS"/>
          <w:sz w:val="18"/>
          <w:szCs w:val="18"/>
          <w:lang w:val="es-ES"/>
        </w:rPr>
        <w:t xml:space="preserve">600 combatientes que han regresado a sus países de origen: </w:t>
      </w:r>
      <w:r w:rsidRPr="00AA0B50">
        <w:rPr>
          <w:rFonts w:ascii="Garamond" w:eastAsia="Arial Unicode MS" w:hAnsi="Garamond" w:cs="Arial Unicode MS"/>
          <w:i/>
          <w:sz w:val="18"/>
          <w:szCs w:val="18"/>
          <w:lang w:val="es-ES"/>
        </w:rPr>
        <w:t>The Washington Post</w:t>
      </w:r>
      <w:r w:rsidRPr="00AA0B50">
        <w:rPr>
          <w:rFonts w:ascii="Garamond" w:eastAsia="Arial Unicode MS" w:hAnsi="Garamond" w:cs="Arial Unicode MS"/>
          <w:sz w:val="18"/>
          <w:szCs w:val="18"/>
          <w:lang w:val="es-ES"/>
        </w:rPr>
        <w:t xml:space="preserve"> (T</w:t>
      </w:r>
      <w:r>
        <w:rPr>
          <w:rFonts w:ascii="Garamond" w:eastAsia="Arial Unicode MS" w:hAnsi="Garamond" w:cs="Arial Unicode MS"/>
          <w:sz w:val="18"/>
          <w:szCs w:val="18"/>
          <w:lang w:val="es-ES"/>
        </w:rPr>
        <w:t>im Meko, 22 de febrero de 2018),</w:t>
      </w:r>
      <w:r w:rsidRPr="00AA0B50">
        <w:rPr>
          <w:rFonts w:ascii="Garamond" w:eastAsia="Arial Unicode MS" w:hAnsi="Garamond" w:cs="Arial Unicode MS"/>
          <w:sz w:val="18"/>
          <w:szCs w:val="18"/>
          <w:lang w:val="es-ES"/>
        </w:rPr>
        <w:t xml:space="preserve"> Ahora que el Estado Islámico </w:t>
      </w:r>
      <w:r>
        <w:rPr>
          <w:rFonts w:ascii="Garamond" w:eastAsia="Arial Unicode MS" w:hAnsi="Garamond" w:cs="Arial Unicode MS"/>
          <w:sz w:val="18"/>
          <w:szCs w:val="18"/>
          <w:lang w:val="es-ES"/>
        </w:rPr>
        <w:t>ha caído</w:t>
      </w:r>
      <w:r w:rsidRPr="00AA0B50">
        <w:rPr>
          <w:rFonts w:ascii="Garamond" w:eastAsia="Arial Unicode MS" w:hAnsi="Garamond" w:cs="Arial Unicode MS"/>
          <w:sz w:val="18"/>
          <w:szCs w:val="18"/>
          <w:lang w:val="es-ES"/>
        </w:rPr>
        <w:t xml:space="preserve"> en Irak y Siria, </w:t>
      </w:r>
      <w:r>
        <w:rPr>
          <w:rFonts w:ascii="Garamond" w:eastAsia="Arial Unicode MS" w:hAnsi="Garamond" w:cs="Arial Unicode MS"/>
          <w:sz w:val="18"/>
          <w:szCs w:val="18"/>
          <w:lang w:val="es-ES"/>
        </w:rPr>
        <w:t>¿donde van</w:t>
      </w:r>
      <w:r w:rsidRPr="00AA0B50">
        <w:rPr>
          <w:rFonts w:ascii="Garamond" w:eastAsia="Arial Unicode MS" w:hAnsi="Garamond" w:cs="Arial Unicode MS"/>
          <w:sz w:val="18"/>
          <w:szCs w:val="18"/>
          <w:lang w:val="es-ES"/>
        </w:rPr>
        <w:t xml:space="preserve"> todos sus </w:t>
      </w:r>
      <w:r>
        <w:rPr>
          <w:rFonts w:ascii="Garamond" w:eastAsia="Arial Unicode MS" w:hAnsi="Garamond" w:cs="Arial Unicode MS"/>
          <w:sz w:val="18"/>
          <w:szCs w:val="18"/>
          <w:lang w:val="es-ES"/>
        </w:rPr>
        <w:t>combatientes</w:t>
      </w:r>
      <w:r w:rsidRPr="00AA0B50">
        <w:rPr>
          <w:rFonts w:ascii="Garamond" w:eastAsia="Arial Unicode MS" w:hAnsi="Garamond" w:cs="Arial Unicode MS"/>
          <w:sz w:val="18"/>
          <w:szCs w:val="18"/>
          <w:lang w:val="es-ES"/>
        </w:rPr>
        <w:t>? -</w:t>
      </w:r>
      <w:r w:rsidRPr="00A01016">
        <w:rPr>
          <w:rFonts w:ascii="Garamond" w:eastAsia="Arial Unicode MS" w:hAnsi="Garamond" w:cs="Arial Unicode MS"/>
          <w:sz w:val="18"/>
          <w:szCs w:val="18"/>
          <w:lang w:val="es-419"/>
        </w:rPr>
        <w:t xml:space="preserve"> </w:t>
      </w:r>
      <w:hyperlink r:id="rId1" w:history="1">
        <w:r w:rsidRPr="00A01016">
          <w:rPr>
            <w:rStyle w:val="Hyperlink"/>
            <w:rFonts w:ascii="Garamond" w:eastAsia="Arial Unicode MS" w:hAnsi="Garamond" w:cs="Arial Unicode MS"/>
            <w:sz w:val="18"/>
            <w:szCs w:val="18"/>
            <w:lang w:val="es-419"/>
          </w:rPr>
          <w:t>https://www.washingtonpost.com/graphics/2018/world/isis-returning-fighters/?utm_term=.1a032aec9233</w:t>
        </w:r>
      </w:hyperlink>
      <w:r w:rsidRPr="00A01016">
        <w:rPr>
          <w:rFonts w:ascii="Garamond" w:eastAsia="Arial Unicode MS" w:hAnsi="Garamond" w:cs="Arial Unicode MS"/>
          <w:sz w:val="18"/>
          <w:szCs w:val="18"/>
          <w:lang w:val="es-419"/>
        </w:rPr>
        <w:t>.</w:t>
      </w:r>
    </w:p>
  </w:footnote>
  <w:footnote w:id="3">
    <w:p w14:paraId="739203CE" w14:textId="70F8044F" w:rsidR="008864A0" w:rsidRPr="00A01016" w:rsidRDefault="008864A0" w:rsidP="00F90337">
      <w:pPr>
        <w:pStyle w:val="FootnoteText"/>
        <w:jc w:val="both"/>
        <w:rPr>
          <w:rFonts w:ascii="Garamond" w:hAnsi="Garamond"/>
          <w:sz w:val="18"/>
          <w:szCs w:val="18"/>
          <w:lang w:val="es-419"/>
        </w:rPr>
      </w:pPr>
      <w:r w:rsidRPr="00A26FB9">
        <w:rPr>
          <w:rStyle w:val="FootnoteReference"/>
          <w:rFonts w:ascii="Garamond" w:hAnsi="Garamond"/>
          <w:sz w:val="18"/>
          <w:szCs w:val="18"/>
        </w:rPr>
        <w:footnoteRef/>
      </w:r>
      <w:r w:rsidRPr="00A01016">
        <w:rPr>
          <w:rFonts w:ascii="Garamond" w:hAnsi="Garamond"/>
          <w:sz w:val="18"/>
          <w:szCs w:val="18"/>
          <w:lang w:val="es-419"/>
        </w:rPr>
        <w:t xml:space="preserve"> </w:t>
      </w:r>
      <w:r w:rsidRPr="00F90337">
        <w:rPr>
          <w:rFonts w:ascii="Garamond" w:hAnsi="Garamond"/>
          <w:sz w:val="18"/>
          <w:szCs w:val="18"/>
          <w:lang w:val="es-ES"/>
        </w:rPr>
        <w:t>La ley especial a través de la cual Irak instituyó los procedimientos por crímenes internacionales contra Saddam Hussein y otros miembros de su régimen no tiene ninguna aplicación general y representó un esfuerzo especial para promover la rendición de cuentas. Los procedimientos del Tribunal Supremo i</w:t>
      </w:r>
      <w:r>
        <w:rPr>
          <w:rFonts w:ascii="Garamond" w:hAnsi="Garamond"/>
          <w:sz w:val="18"/>
          <w:szCs w:val="18"/>
          <w:lang w:val="es-ES"/>
        </w:rPr>
        <w:t>raquí han sido criticados como “injustos”</w:t>
      </w:r>
      <w:r w:rsidRPr="00F90337">
        <w:rPr>
          <w:rFonts w:ascii="Garamond" w:hAnsi="Garamond"/>
          <w:sz w:val="18"/>
          <w:szCs w:val="18"/>
          <w:lang w:val="es-ES"/>
        </w:rPr>
        <w:t xml:space="preserve"> y un fracaso de la justicia (ver, para todos, Jennifer Trahan, </w:t>
      </w:r>
      <w:r w:rsidRPr="00F90337">
        <w:rPr>
          <w:rFonts w:ascii="Garamond" w:hAnsi="Garamond"/>
          <w:i/>
          <w:sz w:val="18"/>
          <w:szCs w:val="18"/>
          <w:lang w:val="es-ES"/>
        </w:rPr>
        <w:t>Guía crítica para el juicio Anfal del Tribunal Supremo iraquí: Genocidio contra los kurdos</w:t>
      </w:r>
      <w:r w:rsidRPr="00F90337">
        <w:rPr>
          <w:rFonts w:ascii="Garamond" w:hAnsi="Garamond"/>
          <w:sz w:val="18"/>
          <w:szCs w:val="18"/>
          <w:lang w:val="es-ES"/>
        </w:rPr>
        <w:t>, 30 Diario de Michigan de Derecho Interna</w:t>
      </w:r>
      <w:r>
        <w:rPr>
          <w:rFonts w:ascii="Garamond" w:hAnsi="Garamond"/>
          <w:sz w:val="18"/>
          <w:szCs w:val="18"/>
          <w:lang w:val="es-ES"/>
        </w:rPr>
        <w:t>cional 2 (2009) (</w:t>
      </w:r>
      <w:hyperlink r:id="rId2" w:history="1">
        <w:r w:rsidRPr="00A01016">
          <w:rPr>
            <w:rStyle w:val="Hyperlink"/>
            <w:rFonts w:ascii="Garamond" w:hAnsi="Garamond"/>
            <w:sz w:val="18"/>
            <w:szCs w:val="18"/>
            <w:lang w:val="es-419"/>
          </w:rPr>
          <w:t>https://repository.law.umich.edu/cgi/viewcontent.cgi?article=1122&amp;context=mjil</w:t>
        </w:r>
      </w:hyperlink>
      <w:r w:rsidRPr="00A01016">
        <w:rPr>
          <w:rFonts w:ascii="Garamond" w:hAnsi="Garamond"/>
          <w:sz w:val="18"/>
          <w:szCs w:val="18"/>
          <w:lang w:val="es-419"/>
        </w:rPr>
        <w:t>),</w:t>
      </w:r>
      <w:r w:rsidRPr="00F90337">
        <w:rPr>
          <w:rFonts w:ascii="Garamond" w:hAnsi="Garamond"/>
          <w:sz w:val="18"/>
          <w:szCs w:val="18"/>
          <w:lang w:val="es-ES"/>
        </w:rPr>
        <w:t xml:space="preserve"> y Michael P. Scharf, </w:t>
      </w:r>
      <w:r w:rsidRPr="008864A0">
        <w:rPr>
          <w:rFonts w:ascii="Garamond" w:hAnsi="Garamond"/>
          <w:i/>
          <w:sz w:val="18"/>
          <w:szCs w:val="18"/>
          <w:lang w:val="es-ES"/>
        </w:rPr>
        <w:t>Lecciones del juicio de Saddam</w:t>
      </w:r>
      <w:r w:rsidRPr="00F90337">
        <w:rPr>
          <w:rFonts w:ascii="Garamond" w:hAnsi="Garamond"/>
          <w:sz w:val="18"/>
          <w:szCs w:val="18"/>
          <w:lang w:val="es-ES"/>
        </w:rPr>
        <w:t xml:space="preserve">, 39 Caso W. Res. J. Int'l L. 1 (2007) </w:t>
      </w:r>
      <w:r w:rsidRPr="00A01016">
        <w:rPr>
          <w:rFonts w:ascii="Garamond" w:hAnsi="Garamond"/>
          <w:sz w:val="18"/>
          <w:szCs w:val="18"/>
          <w:lang w:val="es-419"/>
        </w:rPr>
        <w:t>(</w:t>
      </w:r>
      <w:hyperlink r:id="rId3" w:history="1">
        <w:r w:rsidRPr="00A01016">
          <w:rPr>
            <w:rStyle w:val="Hyperlink"/>
            <w:rFonts w:ascii="Garamond" w:hAnsi="Garamond"/>
            <w:sz w:val="18"/>
            <w:szCs w:val="18"/>
            <w:lang w:val="es-419"/>
          </w:rPr>
          <w:t>https://scholarlycommons.law.case.edu/jil/vol39/iss1/1</w:t>
        </w:r>
      </w:hyperlink>
      <w:r w:rsidRPr="00A01016">
        <w:rPr>
          <w:rFonts w:ascii="Garamond" w:hAnsi="Garamond"/>
          <w:sz w:val="18"/>
          <w:szCs w:val="18"/>
          <w:lang w:val="es-4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0941" w14:textId="2773B1EF" w:rsidR="008864A0" w:rsidRPr="00AA0B50" w:rsidRDefault="008864A0" w:rsidP="008A2437">
    <w:pPr>
      <w:pStyle w:val="HeaderFooter"/>
      <w:jc w:val="right"/>
      <w:rPr>
        <w:rFonts w:ascii="Garamond" w:hAnsi="Garamond"/>
        <w:b/>
        <w:color w:val="0070C0"/>
        <w:sz w:val="20"/>
        <w:szCs w:val="20"/>
        <w:lang w:val="es-ES_tradnl"/>
      </w:rPr>
    </w:pPr>
    <w:r w:rsidRPr="00AA0B50">
      <w:rPr>
        <w:rFonts w:ascii="Garamond" w:hAnsi="Garamond"/>
        <w:b/>
        <w:color w:val="0070C0"/>
        <w:sz w:val="20"/>
        <w:szCs w:val="20"/>
        <w:lang w:val="es-ES_tradnl"/>
      </w:rPr>
      <w:t>Parlamentarios para la Acción Global (PGA)</w:t>
    </w:r>
  </w:p>
  <w:p w14:paraId="05AFE80D" w14:textId="77777777" w:rsidR="008864A0" w:rsidRPr="00A01016" w:rsidRDefault="008864A0" w:rsidP="008A2437">
    <w:pPr>
      <w:pStyle w:val="HeaderFooter"/>
      <w:jc w:val="right"/>
      <w:rPr>
        <w:rFonts w:ascii="Garamond" w:hAnsi="Garamond"/>
        <w:b/>
        <w:color w:val="0070C0"/>
        <w:sz w:val="20"/>
        <w:szCs w:val="20"/>
        <w:lang w:val="es-4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06F7E"/>
    <w:multiLevelType w:val="hybridMultilevel"/>
    <w:tmpl w:val="14C4079C"/>
    <w:lvl w:ilvl="0" w:tplc="284431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075BC"/>
    <w:multiLevelType w:val="hybridMultilevel"/>
    <w:tmpl w:val="A7E4588E"/>
    <w:lvl w:ilvl="0" w:tplc="8B907D2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6"/>
    <w:rsid w:val="000832E2"/>
    <w:rsid w:val="00262F1A"/>
    <w:rsid w:val="002B5659"/>
    <w:rsid w:val="00413894"/>
    <w:rsid w:val="00452051"/>
    <w:rsid w:val="005202CE"/>
    <w:rsid w:val="006750D6"/>
    <w:rsid w:val="008864A0"/>
    <w:rsid w:val="008A2437"/>
    <w:rsid w:val="008A615F"/>
    <w:rsid w:val="008D7A10"/>
    <w:rsid w:val="00905FAD"/>
    <w:rsid w:val="00A01016"/>
    <w:rsid w:val="00A26FB9"/>
    <w:rsid w:val="00A43E17"/>
    <w:rsid w:val="00AA0B50"/>
    <w:rsid w:val="00AC14EE"/>
    <w:rsid w:val="00E066E9"/>
    <w:rsid w:val="00EC4186"/>
    <w:rsid w:val="00F9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93E3"/>
  <w15:docId w15:val="{9BE52E29-4CC3-4132-98ED-32267975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eastAsia="Times New Roman"/>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Garamond" w:eastAsia="Garamond" w:hAnsi="Garamond" w:cs="Garamond"/>
      <w:color w:val="0563C1"/>
      <w:u w:val="single" w:color="0563C1"/>
      <w:shd w:val="clear" w:color="auto" w:fill="FFFFFF"/>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Garamond" w:eastAsia="Garamond" w:hAnsi="Garamond" w:cs="Garamond"/>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CE"/>
    <w:rPr>
      <w:rFonts w:ascii="Segoe UI" w:hAnsi="Segoe UI" w:cs="Segoe UI"/>
      <w:sz w:val="18"/>
      <w:szCs w:val="18"/>
    </w:rPr>
  </w:style>
  <w:style w:type="character" w:styleId="FootnoteReference">
    <w:name w:val="footnote reference"/>
    <w:basedOn w:val="DefaultParagraphFont"/>
    <w:uiPriority w:val="99"/>
    <w:semiHidden/>
    <w:unhideWhenUsed/>
    <w:rsid w:val="00AC14EE"/>
    <w:rPr>
      <w:vertAlign w:val="superscript"/>
    </w:rPr>
  </w:style>
  <w:style w:type="paragraph" w:styleId="ListParagraph">
    <w:name w:val="List Paragraph"/>
    <w:basedOn w:val="Normal"/>
    <w:uiPriority w:val="34"/>
    <w:qFormat/>
    <w:rsid w:val="008A2437"/>
    <w:pPr>
      <w:ind w:left="720"/>
      <w:contextualSpacing/>
    </w:pPr>
  </w:style>
  <w:style w:type="paragraph" w:styleId="Header">
    <w:name w:val="header"/>
    <w:basedOn w:val="Normal"/>
    <w:link w:val="HeaderChar"/>
    <w:uiPriority w:val="99"/>
    <w:unhideWhenUsed/>
    <w:rsid w:val="008A2437"/>
    <w:pPr>
      <w:tabs>
        <w:tab w:val="center" w:pos="4680"/>
        <w:tab w:val="right" w:pos="9360"/>
      </w:tabs>
    </w:pPr>
  </w:style>
  <w:style w:type="character" w:customStyle="1" w:styleId="HeaderChar">
    <w:name w:val="Header Char"/>
    <w:basedOn w:val="DefaultParagraphFont"/>
    <w:link w:val="Header"/>
    <w:uiPriority w:val="99"/>
    <w:rsid w:val="008A2437"/>
    <w:rPr>
      <w:sz w:val="24"/>
      <w:szCs w:val="24"/>
    </w:rPr>
  </w:style>
  <w:style w:type="paragraph" w:styleId="Footer">
    <w:name w:val="footer"/>
    <w:basedOn w:val="Normal"/>
    <w:link w:val="FooterChar"/>
    <w:uiPriority w:val="99"/>
    <w:unhideWhenUsed/>
    <w:rsid w:val="008A2437"/>
    <w:pPr>
      <w:tabs>
        <w:tab w:val="center" w:pos="4680"/>
        <w:tab w:val="right" w:pos="9360"/>
      </w:tabs>
    </w:pPr>
  </w:style>
  <w:style w:type="character" w:customStyle="1" w:styleId="FooterChar">
    <w:name w:val="Footer Char"/>
    <w:basedOn w:val="DefaultParagraphFont"/>
    <w:link w:val="Footer"/>
    <w:uiPriority w:val="99"/>
    <w:rsid w:val="008A2437"/>
    <w:rPr>
      <w:sz w:val="24"/>
      <w:szCs w:val="24"/>
    </w:rPr>
  </w:style>
  <w:style w:type="paragraph" w:styleId="HTMLPreformatted">
    <w:name w:val="HTML Preformatted"/>
    <w:basedOn w:val="Normal"/>
    <w:link w:val="HTMLPreformattedChar"/>
    <w:uiPriority w:val="99"/>
    <w:semiHidden/>
    <w:unhideWhenUsed/>
    <w:rsid w:val="00AA0B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AA0B50"/>
    <w:rPr>
      <w:rFonts w:ascii="Courier" w:eastAsiaTheme="minorEastAsia" w:hAnsi="Courier" w:cs="Courie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236">
      <w:bodyDiv w:val="1"/>
      <w:marLeft w:val="0"/>
      <w:marRight w:val="0"/>
      <w:marTop w:val="0"/>
      <w:marBottom w:val="0"/>
      <w:divBdr>
        <w:top w:val="none" w:sz="0" w:space="0" w:color="auto"/>
        <w:left w:val="none" w:sz="0" w:space="0" w:color="auto"/>
        <w:bottom w:val="none" w:sz="0" w:space="0" w:color="auto"/>
        <w:right w:val="none" w:sz="0" w:space="0" w:color="auto"/>
      </w:divBdr>
    </w:div>
    <w:div w:id="103114304">
      <w:bodyDiv w:val="1"/>
      <w:marLeft w:val="0"/>
      <w:marRight w:val="0"/>
      <w:marTop w:val="0"/>
      <w:marBottom w:val="0"/>
      <w:divBdr>
        <w:top w:val="none" w:sz="0" w:space="0" w:color="auto"/>
        <w:left w:val="none" w:sz="0" w:space="0" w:color="auto"/>
        <w:bottom w:val="none" w:sz="0" w:space="0" w:color="auto"/>
        <w:right w:val="none" w:sz="0" w:space="0" w:color="auto"/>
      </w:divBdr>
    </w:div>
    <w:div w:id="151407197">
      <w:bodyDiv w:val="1"/>
      <w:marLeft w:val="0"/>
      <w:marRight w:val="0"/>
      <w:marTop w:val="0"/>
      <w:marBottom w:val="0"/>
      <w:divBdr>
        <w:top w:val="none" w:sz="0" w:space="0" w:color="auto"/>
        <w:left w:val="none" w:sz="0" w:space="0" w:color="auto"/>
        <w:bottom w:val="none" w:sz="0" w:space="0" w:color="auto"/>
        <w:right w:val="none" w:sz="0" w:space="0" w:color="auto"/>
      </w:divBdr>
    </w:div>
    <w:div w:id="155536251">
      <w:bodyDiv w:val="1"/>
      <w:marLeft w:val="0"/>
      <w:marRight w:val="0"/>
      <w:marTop w:val="0"/>
      <w:marBottom w:val="0"/>
      <w:divBdr>
        <w:top w:val="none" w:sz="0" w:space="0" w:color="auto"/>
        <w:left w:val="none" w:sz="0" w:space="0" w:color="auto"/>
        <w:bottom w:val="none" w:sz="0" w:space="0" w:color="auto"/>
        <w:right w:val="none" w:sz="0" w:space="0" w:color="auto"/>
      </w:divBdr>
    </w:div>
    <w:div w:id="172572354">
      <w:bodyDiv w:val="1"/>
      <w:marLeft w:val="0"/>
      <w:marRight w:val="0"/>
      <w:marTop w:val="0"/>
      <w:marBottom w:val="0"/>
      <w:divBdr>
        <w:top w:val="none" w:sz="0" w:space="0" w:color="auto"/>
        <w:left w:val="none" w:sz="0" w:space="0" w:color="auto"/>
        <w:bottom w:val="none" w:sz="0" w:space="0" w:color="auto"/>
        <w:right w:val="none" w:sz="0" w:space="0" w:color="auto"/>
      </w:divBdr>
    </w:div>
    <w:div w:id="276106834">
      <w:bodyDiv w:val="1"/>
      <w:marLeft w:val="0"/>
      <w:marRight w:val="0"/>
      <w:marTop w:val="0"/>
      <w:marBottom w:val="0"/>
      <w:divBdr>
        <w:top w:val="none" w:sz="0" w:space="0" w:color="auto"/>
        <w:left w:val="none" w:sz="0" w:space="0" w:color="auto"/>
        <w:bottom w:val="none" w:sz="0" w:space="0" w:color="auto"/>
        <w:right w:val="none" w:sz="0" w:space="0" w:color="auto"/>
      </w:divBdr>
    </w:div>
    <w:div w:id="311905911">
      <w:bodyDiv w:val="1"/>
      <w:marLeft w:val="0"/>
      <w:marRight w:val="0"/>
      <w:marTop w:val="0"/>
      <w:marBottom w:val="0"/>
      <w:divBdr>
        <w:top w:val="none" w:sz="0" w:space="0" w:color="auto"/>
        <w:left w:val="none" w:sz="0" w:space="0" w:color="auto"/>
        <w:bottom w:val="none" w:sz="0" w:space="0" w:color="auto"/>
        <w:right w:val="none" w:sz="0" w:space="0" w:color="auto"/>
      </w:divBdr>
    </w:div>
    <w:div w:id="318923089">
      <w:bodyDiv w:val="1"/>
      <w:marLeft w:val="0"/>
      <w:marRight w:val="0"/>
      <w:marTop w:val="0"/>
      <w:marBottom w:val="0"/>
      <w:divBdr>
        <w:top w:val="none" w:sz="0" w:space="0" w:color="auto"/>
        <w:left w:val="none" w:sz="0" w:space="0" w:color="auto"/>
        <w:bottom w:val="none" w:sz="0" w:space="0" w:color="auto"/>
        <w:right w:val="none" w:sz="0" w:space="0" w:color="auto"/>
      </w:divBdr>
    </w:div>
    <w:div w:id="342441723">
      <w:bodyDiv w:val="1"/>
      <w:marLeft w:val="0"/>
      <w:marRight w:val="0"/>
      <w:marTop w:val="0"/>
      <w:marBottom w:val="0"/>
      <w:divBdr>
        <w:top w:val="none" w:sz="0" w:space="0" w:color="auto"/>
        <w:left w:val="none" w:sz="0" w:space="0" w:color="auto"/>
        <w:bottom w:val="none" w:sz="0" w:space="0" w:color="auto"/>
        <w:right w:val="none" w:sz="0" w:space="0" w:color="auto"/>
      </w:divBdr>
    </w:div>
    <w:div w:id="402340636">
      <w:bodyDiv w:val="1"/>
      <w:marLeft w:val="0"/>
      <w:marRight w:val="0"/>
      <w:marTop w:val="0"/>
      <w:marBottom w:val="0"/>
      <w:divBdr>
        <w:top w:val="none" w:sz="0" w:space="0" w:color="auto"/>
        <w:left w:val="none" w:sz="0" w:space="0" w:color="auto"/>
        <w:bottom w:val="none" w:sz="0" w:space="0" w:color="auto"/>
        <w:right w:val="none" w:sz="0" w:space="0" w:color="auto"/>
      </w:divBdr>
    </w:div>
    <w:div w:id="527068563">
      <w:bodyDiv w:val="1"/>
      <w:marLeft w:val="0"/>
      <w:marRight w:val="0"/>
      <w:marTop w:val="0"/>
      <w:marBottom w:val="0"/>
      <w:divBdr>
        <w:top w:val="none" w:sz="0" w:space="0" w:color="auto"/>
        <w:left w:val="none" w:sz="0" w:space="0" w:color="auto"/>
        <w:bottom w:val="none" w:sz="0" w:space="0" w:color="auto"/>
        <w:right w:val="none" w:sz="0" w:space="0" w:color="auto"/>
      </w:divBdr>
    </w:div>
    <w:div w:id="783575557">
      <w:bodyDiv w:val="1"/>
      <w:marLeft w:val="0"/>
      <w:marRight w:val="0"/>
      <w:marTop w:val="0"/>
      <w:marBottom w:val="0"/>
      <w:divBdr>
        <w:top w:val="none" w:sz="0" w:space="0" w:color="auto"/>
        <w:left w:val="none" w:sz="0" w:space="0" w:color="auto"/>
        <w:bottom w:val="none" w:sz="0" w:space="0" w:color="auto"/>
        <w:right w:val="none" w:sz="0" w:space="0" w:color="auto"/>
      </w:divBdr>
    </w:div>
    <w:div w:id="935016803">
      <w:bodyDiv w:val="1"/>
      <w:marLeft w:val="0"/>
      <w:marRight w:val="0"/>
      <w:marTop w:val="0"/>
      <w:marBottom w:val="0"/>
      <w:divBdr>
        <w:top w:val="none" w:sz="0" w:space="0" w:color="auto"/>
        <w:left w:val="none" w:sz="0" w:space="0" w:color="auto"/>
        <w:bottom w:val="none" w:sz="0" w:space="0" w:color="auto"/>
        <w:right w:val="none" w:sz="0" w:space="0" w:color="auto"/>
      </w:divBdr>
    </w:div>
    <w:div w:id="1004087847">
      <w:bodyDiv w:val="1"/>
      <w:marLeft w:val="0"/>
      <w:marRight w:val="0"/>
      <w:marTop w:val="0"/>
      <w:marBottom w:val="0"/>
      <w:divBdr>
        <w:top w:val="none" w:sz="0" w:space="0" w:color="auto"/>
        <w:left w:val="none" w:sz="0" w:space="0" w:color="auto"/>
        <w:bottom w:val="none" w:sz="0" w:space="0" w:color="auto"/>
        <w:right w:val="none" w:sz="0" w:space="0" w:color="auto"/>
      </w:divBdr>
    </w:div>
    <w:div w:id="1241673946">
      <w:bodyDiv w:val="1"/>
      <w:marLeft w:val="0"/>
      <w:marRight w:val="0"/>
      <w:marTop w:val="0"/>
      <w:marBottom w:val="0"/>
      <w:divBdr>
        <w:top w:val="none" w:sz="0" w:space="0" w:color="auto"/>
        <w:left w:val="none" w:sz="0" w:space="0" w:color="auto"/>
        <w:bottom w:val="none" w:sz="0" w:space="0" w:color="auto"/>
        <w:right w:val="none" w:sz="0" w:space="0" w:color="auto"/>
      </w:divBdr>
    </w:div>
    <w:div w:id="1274631905">
      <w:bodyDiv w:val="1"/>
      <w:marLeft w:val="0"/>
      <w:marRight w:val="0"/>
      <w:marTop w:val="0"/>
      <w:marBottom w:val="0"/>
      <w:divBdr>
        <w:top w:val="none" w:sz="0" w:space="0" w:color="auto"/>
        <w:left w:val="none" w:sz="0" w:space="0" w:color="auto"/>
        <w:bottom w:val="none" w:sz="0" w:space="0" w:color="auto"/>
        <w:right w:val="none" w:sz="0" w:space="0" w:color="auto"/>
      </w:divBdr>
    </w:div>
    <w:div w:id="1388799161">
      <w:bodyDiv w:val="1"/>
      <w:marLeft w:val="0"/>
      <w:marRight w:val="0"/>
      <w:marTop w:val="0"/>
      <w:marBottom w:val="0"/>
      <w:divBdr>
        <w:top w:val="none" w:sz="0" w:space="0" w:color="auto"/>
        <w:left w:val="none" w:sz="0" w:space="0" w:color="auto"/>
        <w:bottom w:val="none" w:sz="0" w:space="0" w:color="auto"/>
        <w:right w:val="none" w:sz="0" w:space="0" w:color="auto"/>
      </w:divBdr>
    </w:div>
    <w:div w:id="1446970991">
      <w:bodyDiv w:val="1"/>
      <w:marLeft w:val="0"/>
      <w:marRight w:val="0"/>
      <w:marTop w:val="0"/>
      <w:marBottom w:val="0"/>
      <w:divBdr>
        <w:top w:val="none" w:sz="0" w:space="0" w:color="auto"/>
        <w:left w:val="none" w:sz="0" w:space="0" w:color="auto"/>
        <w:bottom w:val="none" w:sz="0" w:space="0" w:color="auto"/>
        <w:right w:val="none" w:sz="0" w:space="0" w:color="auto"/>
      </w:divBdr>
    </w:div>
    <w:div w:id="1491171124">
      <w:bodyDiv w:val="1"/>
      <w:marLeft w:val="0"/>
      <w:marRight w:val="0"/>
      <w:marTop w:val="0"/>
      <w:marBottom w:val="0"/>
      <w:divBdr>
        <w:top w:val="none" w:sz="0" w:space="0" w:color="auto"/>
        <w:left w:val="none" w:sz="0" w:space="0" w:color="auto"/>
        <w:bottom w:val="none" w:sz="0" w:space="0" w:color="auto"/>
        <w:right w:val="none" w:sz="0" w:space="0" w:color="auto"/>
      </w:divBdr>
    </w:div>
    <w:div w:id="1496994462">
      <w:bodyDiv w:val="1"/>
      <w:marLeft w:val="0"/>
      <w:marRight w:val="0"/>
      <w:marTop w:val="0"/>
      <w:marBottom w:val="0"/>
      <w:divBdr>
        <w:top w:val="none" w:sz="0" w:space="0" w:color="auto"/>
        <w:left w:val="none" w:sz="0" w:space="0" w:color="auto"/>
        <w:bottom w:val="none" w:sz="0" w:space="0" w:color="auto"/>
        <w:right w:val="none" w:sz="0" w:space="0" w:color="auto"/>
      </w:divBdr>
    </w:div>
    <w:div w:id="1637760915">
      <w:bodyDiv w:val="1"/>
      <w:marLeft w:val="0"/>
      <w:marRight w:val="0"/>
      <w:marTop w:val="0"/>
      <w:marBottom w:val="0"/>
      <w:divBdr>
        <w:top w:val="none" w:sz="0" w:space="0" w:color="auto"/>
        <w:left w:val="none" w:sz="0" w:space="0" w:color="auto"/>
        <w:bottom w:val="none" w:sz="0" w:space="0" w:color="auto"/>
        <w:right w:val="none" w:sz="0" w:space="0" w:color="auto"/>
      </w:divBdr>
    </w:div>
    <w:div w:id="1661469384">
      <w:bodyDiv w:val="1"/>
      <w:marLeft w:val="0"/>
      <w:marRight w:val="0"/>
      <w:marTop w:val="0"/>
      <w:marBottom w:val="0"/>
      <w:divBdr>
        <w:top w:val="none" w:sz="0" w:space="0" w:color="auto"/>
        <w:left w:val="none" w:sz="0" w:space="0" w:color="auto"/>
        <w:bottom w:val="none" w:sz="0" w:space="0" w:color="auto"/>
        <w:right w:val="none" w:sz="0" w:space="0" w:color="auto"/>
      </w:divBdr>
    </w:div>
    <w:div w:id="1778522123">
      <w:bodyDiv w:val="1"/>
      <w:marLeft w:val="0"/>
      <w:marRight w:val="0"/>
      <w:marTop w:val="0"/>
      <w:marBottom w:val="0"/>
      <w:divBdr>
        <w:top w:val="none" w:sz="0" w:space="0" w:color="auto"/>
        <w:left w:val="none" w:sz="0" w:space="0" w:color="auto"/>
        <w:bottom w:val="none" w:sz="0" w:space="0" w:color="auto"/>
        <w:right w:val="none" w:sz="0" w:space="0" w:color="auto"/>
      </w:divBdr>
    </w:div>
    <w:div w:id="1834183022">
      <w:bodyDiv w:val="1"/>
      <w:marLeft w:val="0"/>
      <w:marRight w:val="0"/>
      <w:marTop w:val="0"/>
      <w:marBottom w:val="0"/>
      <w:divBdr>
        <w:top w:val="none" w:sz="0" w:space="0" w:color="auto"/>
        <w:left w:val="none" w:sz="0" w:space="0" w:color="auto"/>
        <w:bottom w:val="none" w:sz="0" w:space="0" w:color="auto"/>
        <w:right w:val="none" w:sz="0" w:space="0" w:color="auto"/>
      </w:divBdr>
    </w:div>
    <w:div w:id="1877542761">
      <w:bodyDiv w:val="1"/>
      <w:marLeft w:val="0"/>
      <w:marRight w:val="0"/>
      <w:marTop w:val="0"/>
      <w:marBottom w:val="0"/>
      <w:divBdr>
        <w:top w:val="none" w:sz="0" w:space="0" w:color="auto"/>
        <w:left w:val="none" w:sz="0" w:space="0" w:color="auto"/>
        <w:bottom w:val="none" w:sz="0" w:space="0" w:color="auto"/>
        <w:right w:val="none" w:sz="0" w:space="0" w:color="auto"/>
      </w:divBdr>
    </w:div>
    <w:div w:id="1882326822">
      <w:bodyDiv w:val="1"/>
      <w:marLeft w:val="0"/>
      <w:marRight w:val="0"/>
      <w:marTop w:val="0"/>
      <w:marBottom w:val="0"/>
      <w:divBdr>
        <w:top w:val="none" w:sz="0" w:space="0" w:color="auto"/>
        <w:left w:val="none" w:sz="0" w:space="0" w:color="auto"/>
        <w:bottom w:val="none" w:sz="0" w:space="0" w:color="auto"/>
        <w:right w:val="none" w:sz="0" w:space="0" w:color="auto"/>
      </w:divBdr>
    </w:div>
    <w:div w:id="1965768936">
      <w:bodyDiv w:val="1"/>
      <w:marLeft w:val="0"/>
      <w:marRight w:val="0"/>
      <w:marTop w:val="0"/>
      <w:marBottom w:val="0"/>
      <w:divBdr>
        <w:top w:val="none" w:sz="0" w:space="0" w:color="auto"/>
        <w:left w:val="none" w:sz="0" w:space="0" w:color="auto"/>
        <w:bottom w:val="none" w:sz="0" w:space="0" w:color="auto"/>
        <w:right w:val="none" w:sz="0" w:space="0" w:color="auto"/>
      </w:divBdr>
    </w:div>
    <w:div w:id="2008441757">
      <w:bodyDiv w:val="1"/>
      <w:marLeft w:val="0"/>
      <w:marRight w:val="0"/>
      <w:marTop w:val="0"/>
      <w:marBottom w:val="0"/>
      <w:divBdr>
        <w:top w:val="none" w:sz="0" w:space="0" w:color="auto"/>
        <w:left w:val="none" w:sz="0" w:space="0" w:color="auto"/>
        <w:bottom w:val="none" w:sz="0" w:space="0" w:color="auto"/>
        <w:right w:val="none" w:sz="0" w:space="0" w:color="auto"/>
      </w:divBdr>
    </w:div>
    <w:div w:id="2058778987">
      <w:bodyDiv w:val="1"/>
      <w:marLeft w:val="0"/>
      <w:marRight w:val="0"/>
      <w:marTop w:val="0"/>
      <w:marBottom w:val="0"/>
      <w:divBdr>
        <w:top w:val="none" w:sz="0" w:space="0" w:color="auto"/>
        <w:left w:val="none" w:sz="0" w:space="0" w:color="auto"/>
        <w:bottom w:val="none" w:sz="0" w:space="0" w:color="auto"/>
        <w:right w:val="none" w:sz="0" w:space="0" w:color="auto"/>
      </w:divBdr>
    </w:div>
    <w:div w:id="2085103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action.org/pdf/Milan-Plan-of-Action-S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cholarlycommons.law.case.edu/jil/vol39/iss1/1" TargetMode="External"/><Relationship Id="rId2" Type="http://schemas.openxmlformats.org/officeDocument/2006/relationships/hyperlink" Target="https://repository.law.umich.edu/cgi/viewcontent.cgi?article=1122&amp;context=mjil" TargetMode="External"/><Relationship Id="rId1" Type="http://schemas.openxmlformats.org/officeDocument/2006/relationships/hyperlink" Target="https://www.washingtonpost.com/graphics/2018/world/isis-returning-fighters/?utm_term=.1a032aec923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4076-DB3B-4F41-BA2D-B104E3BD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Melissa Verpile</cp:lastModifiedBy>
  <cp:revision>3</cp:revision>
  <dcterms:created xsi:type="dcterms:W3CDTF">2018-03-09T15:56:00Z</dcterms:created>
  <dcterms:modified xsi:type="dcterms:W3CDTF">2018-03-09T15:58:00Z</dcterms:modified>
</cp:coreProperties>
</file>